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A529E" w14:textId="6E658D76" w:rsidR="00E203C2" w:rsidRPr="00932F72" w:rsidRDefault="00E203C2" w:rsidP="00E203C2">
      <w:pPr>
        <w:rPr>
          <w:lang w:val="en-AU"/>
        </w:rPr>
      </w:pPr>
      <w:r w:rsidRPr="00932F72">
        <w:rPr>
          <w:noProof/>
          <w:lang w:eastAsia="en-GB" w:bidi="ar-SA"/>
        </w:rPr>
        <w:drawing>
          <wp:inline distT="0" distB="0" distL="0" distR="0" wp14:anchorId="2BCBC072" wp14:editId="48F0DB0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01D8E62" w14:textId="77777777" w:rsidR="003C36C8" w:rsidRPr="003C36C8" w:rsidRDefault="003C36C8" w:rsidP="003C36C8">
      <w:pPr>
        <w:widowControl/>
        <w:rPr>
          <w:sz w:val="20"/>
          <w:lang w:bidi="ar-SA"/>
        </w:rPr>
      </w:pPr>
    </w:p>
    <w:p w14:paraId="1DA3E44B" w14:textId="5562B375" w:rsidR="002732D4" w:rsidRPr="00FE7893" w:rsidRDefault="00FE7893" w:rsidP="002732D4">
      <w:pPr>
        <w:rPr>
          <w:b/>
          <w:sz w:val="28"/>
          <w:szCs w:val="28"/>
        </w:rPr>
      </w:pPr>
      <w:r w:rsidRPr="00FE7893">
        <w:rPr>
          <w:b/>
          <w:sz w:val="28"/>
          <w:szCs w:val="28"/>
        </w:rPr>
        <w:t>22 July 2019</w:t>
      </w:r>
    </w:p>
    <w:p w14:paraId="3379E372" w14:textId="16EEAD4D" w:rsidR="002732D4" w:rsidRPr="00FE7893" w:rsidRDefault="00FE7893" w:rsidP="002732D4">
      <w:pPr>
        <w:rPr>
          <w:b/>
          <w:sz w:val="28"/>
          <w:szCs w:val="28"/>
        </w:rPr>
      </w:pPr>
      <w:r w:rsidRPr="00FE7893">
        <w:rPr>
          <w:b/>
          <w:sz w:val="28"/>
          <w:szCs w:val="28"/>
        </w:rPr>
        <w:t>[86</w:t>
      </w:r>
      <w:r w:rsidR="002732D4" w:rsidRPr="00FE7893">
        <w:rPr>
          <w:b/>
          <w:sz w:val="28"/>
          <w:szCs w:val="28"/>
        </w:rPr>
        <w:t>–1</w:t>
      </w:r>
      <w:r w:rsidRPr="00FE7893">
        <w:rPr>
          <w:b/>
          <w:sz w:val="28"/>
          <w:szCs w:val="28"/>
        </w:rPr>
        <w:t>9</w:t>
      </w:r>
      <w:r w:rsidR="002732D4" w:rsidRPr="00FE7893">
        <w:rPr>
          <w:b/>
          <w:sz w:val="28"/>
          <w:szCs w:val="28"/>
        </w:rPr>
        <w:t>]</w:t>
      </w:r>
    </w:p>
    <w:p w14:paraId="4E2DFA9E" w14:textId="77777777" w:rsidR="00A21820" w:rsidRPr="008D5F33" w:rsidRDefault="00A21820" w:rsidP="00A21820">
      <w:pPr>
        <w:pStyle w:val="FSTitle"/>
        <w:rPr>
          <w:b/>
          <w:sz w:val="22"/>
        </w:rPr>
      </w:pPr>
    </w:p>
    <w:p w14:paraId="54F45EA2" w14:textId="68CF7A3F" w:rsidR="00A21820" w:rsidRPr="00A21820" w:rsidRDefault="00A21820" w:rsidP="00A21820">
      <w:pPr>
        <w:pStyle w:val="FSTitle"/>
        <w:rPr>
          <w:b/>
        </w:rPr>
      </w:pPr>
      <w:r w:rsidRPr="005B7A73">
        <w:rPr>
          <w:b/>
        </w:rPr>
        <w:t xml:space="preserve">Supporting document </w:t>
      </w:r>
      <w:r w:rsidRPr="00A21820">
        <w:rPr>
          <w:b/>
        </w:rPr>
        <w:t>2</w:t>
      </w:r>
      <w:bookmarkStart w:id="0" w:name="_GoBack"/>
      <w:bookmarkEnd w:id="0"/>
    </w:p>
    <w:p w14:paraId="3DDF4185" w14:textId="77777777" w:rsidR="00A21820" w:rsidRPr="00A21820" w:rsidRDefault="00A21820" w:rsidP="00A21820"/>
    <w:p w14:paraId="38E16EE6" w14:textId="6C3459A3" w:rsidR="00A21820" w:rsidRPr="00A21820" w:rsidRDefault="00A21820" w:rsidP="00A21820">
      <w:pPr>
        <w:pStyle w:val="FSTitle"/>
      </w:pPr>
      <w:r w:rsidRPr="00A21820">
        <w:t>Assessment against Ministerial Policy Guidelines – Application A1155</w:t>
      </w:r>
    </w:p>
    <w:p w14:paraId="3B683064" w14:textId="77777777" w:rsidR="00A21820" w:rsidRPr="00690206" w:rsidRDefault="00A21820" w:rsidP="00A21820"/>
    <w:p w14:paraId="445F4B68" w14:textId="14700D34" w:rsidR="00937CB7" w:rsidRPr="00932F72" w:rsidRDefault="00937CB7" w:rsidP="00937CB7">
      <w:pPr>
        <w:pStyle w:val="FSTitle"/>
        <w:rPr>
          <w:color w:val="FF0000"/>
          <w:lang w:val="en-AU"/>
        </w:rPr>
      </w:pPr>
      <w:r>
        <w:rPr>
          <w:rFonts w:cs="Segoe UI"/>
          <w:color w:val="262626"/>
          <w:lang w:val="en-AU"/>
        </w:rPr>
        <w:t>2</w:t>
      </w:r>
      <w:r w:rsidR="005D4C6E">
        <w:rPr>
          <w:rFonts w:cs="Segoe UI"/>
          <w:color w:val="262626"/>
          <w:lang w:val="en-AU"/>
        </w:rPr>
        <w:t>′</w:t>
      </w:r>
      <w:r>
        <w:rPr>
          <w:rFonts w:cs="Segoe UI"/>
          <w:color w:val="262626"/>
          <w:lang w:val="en-AU"/>
        </w:rPr>
        <w:t>-FL and LNnT in infant formula and other products</w:t>
      </w:r>
    </w:p>
    <w:p w14:paraId="2F1D7E06" w14:textId="77777777" w:rsidR="00E203C2" w:rsidRPr="00932F72" w:rsidRDefault="00E203C2" w:rsidP="00E203C2">
      <w:pPr>
        <w:pBdr>
          <w:bottom w:val="single" w:sz="12" w:space="1" w:color="auto"/>
        </w:pBdr>
        <w:spacing w:line="280" w:lineRule="exact"/>
        <w:rPr>
          <w:rFonts w:cs="Arial"/>
          <w:bCs/>
          <w:lang w:val="en-AU"/>
        </w:rPr>
      </w:pPr>
    </w:p>
    <w:p w14:paraId="51E4F9BD" w14:textId="3DFF6BB0" w:rsidR="000A1AF4" w:rsidRDefault="000A1AF4" w:rsidP="000A1AF4">
      <w:pPr>
        <w:rPr>
          <w:lang w:val="en-AU"/>
        </w:rPr>
      </w:pPr>
      <w:bookmarkStart w:id="1" w:name="_Toc338769349"/>
    </w:p>
    <w:p w14:paraId="5482CA63" w14:textId="795E30AF" w:rsidR="00D521C6" w:rsidRDefault="000F5D35" w:rsidP="000A1AF4">
      <w:r>
        <w:t xml:space="preserve">FSANZ has had regard to two </w:t>
      </w:r>
      <w:r w:rsidR="00F73381">
        <w:t>Ministerial Policy G</w:t>
      </w:r>
      <w:r w:rsidR="002732D4">
        <w:t>uidelines relevant to a</w:t>
      </w:r>
      <w:r w:rsidR="00D521C6">
        <w:t>pplication A1155, as required under subsection 18(2) of the FSANZ Act:</w:t>
      </w:r>
    </w:p>
    <w:p w14:paraId="5538FED1" w14:textId="611A9995" w:rsidR="000A1AF4" w:rsidRDefault="000A1AF4" w:rsidP="000A1AF4">
      <w:r w:rsidRPr="00203E26">
        <w:t xml:space="preserve"> </w:t>
      </w:r>
    </w:p>
    <w:p w14:paraId="0694700C" w14:textId="3D3BC06B" w:rsidR="000A1AF4" w:rsidRPr="00E84BB6" w:rsidRDefault="000A1AF4" w:rsidP="000A1AF4">
      <w:pPr>
        <w:pStyle w:val="ListParagraph"/>
        <w:numPr>
          <w:ilvl w:val="0"/>
          <w:numId w:val="13"/>
        </w:numPr>
        <w:rPr>
          <w:rFonts w:eastAsia="Times New Roman" w:cs="Arial"/>
          <w:szCs w:val="24"/>
        </w:rPr>
      </w:pPr>
      <w:r>
        <w:rPr>
          <w:rFonts w:eastAsia="Times New Roman" w:cs="Arial"/>
          <w:szCs w:val="24"/>
        </w:rPr>
        <w:t>Regulation of Infant Formula Products</w:t>
      </w:r>
    </w:p>
    <w:p w14:paraId="079B20DA" w14:textId="0CC73426" w:rsidR="000A1AF4" w:rsidRDefault="00F85EAC" w:rsidP="000A1AF4">
      <w:pPr>
        <w:pStyle w:val="ListParagraph"/>
        <w:numPr>
          <w:ilvl w:val="0"/>
          <w:numId w:val="13"/>
        </w:numPr>
        <w:rPr>
          <w:rFonts w:eastAsia="Times New Roman" w:cs="Arial"/>
          <w:szCs w:val="24"/>
        </w:rPr>
      </w:pPr>
      <w:r>
        <w:rPr>
          <w:rFonts w:eastAsia="Times New Roman" w:cs="Arial"/>
          <w:szCs w:val="24"/>
        </w:rPr>
        <w:t>I</w:t>
      </w:r>
      <w:r w:rsidR="000A1AF4">
        <w:rPr>
          <w:rFonts w:eastAsia="Times New Roman" w:cs="Arial"/>
          <w:szCs w:val="24"/>
        </w:rPr>
        <w:t>ntent of Part 2</w:t>
      </w:r>
      <w:r w:rsidR="00F73381">
        <w:rPr>
          <w:rFonts w:eastAsia="Times New Roman" w:cs="Arial"/>
          <w:szCs w:val="24"/>
        </w:rPr>
        <w:t>.9 - Special Purpose Foods</w:t>
      </w:r>
    </w:p>
    <w:p w14:paraId="65481047" w14:textId="77777777" w:rsidR="000A1AF4" w:rsidRPr="007122F1" w:rsidRDefault="000A1AF4" w:rsidP="000A1AF4"/>
    <w:p w14:paraId="18A55FC4" w14:textId="4753E5D6" w:rsidR="000A1AF4" w:rsidRPr="002732D4" w:rsidRDefault="00F378E0" w:rsidP="000A1AF4">
      <w:pPr>
        <w:rPr>
          <w:lang w:val="en-AU"/>
        </w:rPr>
      </w:pPr>
      <w:r>
        <w:t>The tables</w:t>
      </w:r>
      <w:r w:rsidR="00F85EAC">
        <w:t xml:space="preserve"> below summarise our assessment against</w:t>
      </w:r>
      <w:r w:rsidR="000A1AF4">
        <w:t xml:space="preserve"> the specific pol</w:t>
      </w:r>
      <w:r w:rsidR="005647B6">
        <w:t>icy principles of t</w:t>
      </w:r>
      <w:r w:rsidR="00F85EAC">
        <w:t xml:space="preserve">hese </w:t>
      </w:r>
      <w:r w:rsidR="000A1AF4">
        <w:t>policy guideline</w:t>
      </w:r>
      <w:r w:rsidR="00F85EAC">
        <w:t>s</w:t>
      </w:r>
      <w:r w:rsidR="000A1AF4">
        <w:t>.</w:t>
      </w:r>
      <w:r w:rsidR="002732D4">
        <w:t xml:space="preserve"> </w:t>
      </w:r>
      <w:r w:rsidR="00506490" w:rsidRPr="00402636">
        <w:t>T</w:t>
      </w:r>
      <w:r w:rsidR="00506490" w:rsidRPr="00402636">
        <w:rPr>
          <w:lang w:val="en-AU"/>
        </w:rPr>
        <w:t>he tables have been revised since the 1</w:t>
      </w:r>
      <w:r w:rsidR="00506490" w:rsidRPr="00402636">
        <w:rPr>
          <w:vertAlign w:val="superscript"/>
          <w:lang w:val="en-AU"/>
        </w:rPr>
        <w:t>st</w:t>
      </w:r>
      <w:r w:rsidR="00CF68B1">
        <w:rPr>
          <w:lang w:val="en-AU"/>
        </w:rPr>
        <w:t xml:space="preserve"> Call for S</w:t>
      </w:r>
      <w:r w:rsidR="00506490" w:rsidRPr="00402636">
        <w:rPr>
          <w:lang w:val="en-AU"/>
        </w:rPr>
        <w:t>ubmissions (CFS), f</w:t>
      </w:r>
      <w:r w:rsidR="002732D4" w:rsidRPr="00402636">
        <w:rPr>
          <w:lang w:val="en-AU"/>
        </w:rPr>
        <w:t>ollowing consideration of submis</w:t>
      </w:r>
      <w:r w:rsidR="00506490" w:rsidRPr="00402636">
        <w:rPr>
          <w:lang w:val="en-AU"/>
        </w:rPr>
        <w:t>sions and targeted consultation</w:t>
      </w:r>
      <w:r w:rsidR="002732D4" w:rsidRPr="00402636">
        <w:rPr>
          <w:lang w:val="en-AU"/>
        </w:rPr>
        <w:t>.</w:t>
      </w:r>
    </w:p>
    <w:p w14:paraId="225BD955" w14:textId="7CF80501" w:rsidR="008C258E" w:rsidRPr="00932F72" w:rsidRDefault="008059A0" w:rsidP="00F86EEB">
      <w:pPr>
        <w:pStyle w:val="Heading1"/>
      </w:pPr>
      <w:r w:rsidRPr="00932F72">
        <w:rPr>
          <w:lang w:val="en-AU"/>
        </w:rPr>
        <w:t>1</w:t>
      </w:r>
      <w:r w:rsidRPr="00932F72">
        <w:rPr>
          <w:lang w:val="en-AU"/>
        </w:rPr>
        <w:tab/>
      </w:r>
      <w:r w:rsidR="008C258E" w:rsidRPr="00932F72">
        <w:rPr>
          <w:lang w:val="en-AU"/>
        </w:rPr>
        <w:t>Regulation of Infant Formula Products</w:t>
      </w:r>
      <w:bookmarkEnd w:id="1"/>
    </w:p>
    <w:p w14:paraId="4D39D5AE" w14:textId="090B064F" w:rsidR="00185417" w:rsidRDefault="00F73381" w:rsidP="00F86EEB">
      <w:pPr>
        <w:rPr>
          <w:lang w:val="en-AU"/>
        </w:rPr>
      </w:pPr>
      <w:r w:rsidRPr="00932F72">
        <w:rPr>
          <w:lang w:val="en-AU"/>
        </w:rPr>
        <w:t xml:space="preserve">FSANZ has had regard to the </w:t>
      </w:r>
      <w:r w:rsidR="006F4E5E">
        <w:rPr>
          <w:lang w:val="en-AU"/>
        </w:rPr>
        <w:t>policy guideline</w:t>
      </w:r>
      <w:r w:rsidRPr="00932F72">
        <w:rPr>
          <w:lang w:val="en-AU"/>
        </w:rPr>
        <w:t xml:space="preserve"> on the </w:t>
      </w:r>
      <w:r w:rsidRPr="00F73381">
        <w:rPr>
          <w:lang w:val="en-AU"/>
        </w:rPr>
        <w:t>Regula</w:t>
      </w:r>
      <w:r>
        <w:rPr>
          <w:lang w:val="en-AU"/>
        </w:rPr>
        <w:t>tion of Infant Formula Products</w:t>
      </w:r>
      <w:r w:rsidRPr="00932F72">
        <w:rPr>
          <w:lang w:val="en-AU"/>
        </w:rPr>
        <w:t xml:space="preserve"> in our ass</w:t>
      </w:r>
      <w:r w:rsidR="00944DE8">
        <w:rPr>
          <w:lang w:val="en-AU"/>
        </w:rPr>
        <w:t>essment of this a</w:t>
      </w:r>
      <w:r>
        <w:rPr>
          <w:lang w:val="en-AU"/>
        </w:rPr>
        <w:t>pplication. The policy g</w:t>
      </w:r>
      <w:r w:rsidRPr="00932F72">
        <w:rPr>
          <w:lang w:val="en-AU"/>
        </w:rPr>
        <w:t xml:space="preserve">uideline includes specific policy principles relating to composition, labelling and advertising, as well as overarching </w:t>
      </w:r>
      <w:r w:rsidR="00C351B4">
        <w:rPr>
          <w:lang w:val="en-AU"/>
        </w:rPr>
        <w:t xml:space="preserve">and high order </w:t>
      </w:r>
      <w:r w:rsidRPr="00932F72">
        <w:rPr>
          <w:lang w:val="en-AU"/>
        </w:rPr>
        <w:t xml:space="preserve">principles. The table below summarises our assessment </w:t>
      </w:r>
      <w:r>
        <w:rPr>
          <w:lang w:val="en-AU"/>
        </w:rPr>
        <w:t>against</w:t>
      </w:r>
      <w:r w:rsidRPr="00932F72">
        <w:rPr>
          <w:lang w:val="en-AU"/>
        </w:rPr>
        <w:t xml:space="preserve"> t</w:t>
      </w:r>
      <w:r>
        <w:rPr>
          <w:lang w:val="en-AU"/>
        </w:rPr>
        <w:t>he specific policy principles</w:t>
      </w:r>
      <w:r w:rsidR="006F4E5E">
        <w:rPr>
          <w:lang w:val="en-AU"/>
        </w:rPr>
        <w:t xml:space="preserve"> </w:t>
      </w:r>
      <w:r w:rsidR="00A82D70">
        <w:rPr>
          <w:lang w:val="en-AU"/>
        </w:rPr>
        <w:t>for</w:t>
      </w:r>
      <w:r w:rsidR="001B6430">
        <w:rPr>
          <w:lang w:val="en-AU"/>
        </w:rPr>
        <w:t xml:space="preserve"> the</w:t>
      </w:r>
      <w:r w:rsidR="006F4E5E">
        <w:rPr>
          <w:lang w:val="en-AU"/>
        </w:rPr>
        <w:t xml:space="preserve"> </w:t>
      </w:r>
      <w:r w:rsidR="00944DE8">
        <w:rPr>
          <w:lang w:val="en-AU"/>
        </w:rPr>
        <w:t xml:space="preserve">proposed </w:t>
      </w:r>
      <w:r w:rsidR="00294E47">
        <w:rPr>
          <w:lang w:val="en-AU"/>
        </w:rPr>
        <w:t>addition</w:t>
      </w:r>
      <w:r w:rsidR="006F4E5E">
        <w:rPr>
          <w:lang w:val="en-AU"/>
        </w:rPr>
        <w:t xml:space="preserve"> of 2</w:t>
      </w:r>
      <w:r w:rsidR="005D4C6E">
        <w:rPr>
          <w:lang w:val="en-AU"/>
        </w:rPr>
        <w:t>′</w:t>
      </w:r>
      <w:r w:rsidR="006F4E5E">
        <w:rPr>
          <w:lang w:val="en-AU"/>
        </w:rPr>
        <w:t xml:space="preserve">-FL </w:t>
      </w:r>
      <w:r w:rsidR="00A82D70">
        <w:rPr>
          <w:lang w:val="en-AU"/>
        </w:rPr>
        <w:t xml:space="preserve">alone </w:t>
      </w:r>
      <w:r w:rsidR="0049573E">
        <w:rPr>
          <w:lang w:val="en-AU"/>
        </w:rPr>
        <w:t>and in combination with</w:t>
      </w:r>
      <w:r w:rsidR="00294E47">
        <w:rPr>
          <w:lang w:val="en-AU"/>
        </w:rPr>
        <w:t xml:space="preserve"> LNnT to</w:t>
      </w:r>
      <w:r w:rsidR="006F4E5E">
        <w:rPr>
          <w:lang w:val="en-AU"/>
        </w:rPr>
        <w:t xml:space="preserve"> infant formula products</w:t>
      </w:r>
      <w:r w:rsidR="000108DB">
        <w:rPr>
          <w:lang w:val="en-AU"/>
        </w:rPr>
        <w:t xml:space="preserve"> (includes infant formula, follow-on formula and infant formula for special dietary use)</w:t>
      </w:r>
      <w:r w:rsidR="00185417">
        <w:rPr>
          <w:lang w:val="en-AU"/>
        </w:rPr>
        <w:t>.</w:t>
      </w:r>
      <w:r w:rsidR="002732D4">
        <w:rPr>
          <w:lang w:val="en-AU"/>
        </w:rPr>
        <w:t xml:space="preserve"> </w:t>
      </w:r>
    </w:p>
    <w:p w14:paraId="00E744EE" w14:textId="77777777" w:rsidR="00185417" w:rsidRDefault="00185417">
      <w:pPr>
        <w:widowControl/>
        <w:rPr>
          <w:lang w:val="en-AU"/>
        </w:rPr>
      </w:pPr>
      <w:r>
        <w:rPr>
          <w:lang w:val="en-AU"/>
        </w:rPr>
        <w:br w:type="page"/>
      </w:r>
    </w:p>
    <w:tbl>
      <w:tblPr>
        <w:tblStyle w:val="TableGrid"/>
        <w:tblW w:w="5004" w:type="pct"/>
        <w:tblLook w:val="04A0" w:firstRow="1" w:lastRow="0" w:firstColumn="1" w:lastColumn="0" w:noHBand="0" w:noVBand="1"/>
        <w:tblDescription w:val="This table summarises FSANZ's assessment of the application against the specific policy principles of the Ministerial Policy Guideline on the Regulation of Infant formula Products. "/>
      </w:tblPr>
      <w:tblGrid>
        <w:gridCol w:w="6999"/>
        <w:gridCol w:w="7004"/>
      </w:tblGrid>
      <w:tr w:rsidR="00A82D70" w:rsidRPr="00932F72" w14:paraId="6DA96D23" w14:textId="77777777" w:rsidTr="00A269D0">
        <w:trPr>
          <w:tblHeader/>
        </w:trPr>
        <w:tc>
          <w:tcPr>
            <w:tcW w:w="2499" w:type="pct"/>
            <w:shd w:val="clear" w:color="auto" w:fill="D6E3BC" w:themeFill="accent3" w:themeFillTint="66"/>
          </w:tcPr>
          <w:p w14:paraId="513D6A6E" w14:textId="7FC6FD19" w:rsidR="00A82D70" w:rsidRPr="00932F72" w:rsidRDefault="00A82D70" w:rsidP="008D08E0">
            <w:pPr>
              <w:spacing w:before="120"/>
              <w:rPr>
                <w:rFonts w:cs="Arial"/>
                <w:b/>
                <w:lang w:val="en-AU"/>
              </w:rPr>
            </w:pPr>
            <w:r w:rsidRPr="00932F72">
              <w:rPr>
                <w:rFonts w:cs="Arial"/>
                <w:b/>
                <w:lang w:val="en-AU"/>
              </w:rPr>
              <w:lastRenderedPageBreak/>
              <w:t>Specific Policy Principles</w:t>
            </w:r>
            <w:r w:rsidR="00462A1C">
              <w:rPr>
                <w:rFonts w:cs="Arial"/>
                <w:b/>
                <w:lang w:val="en-AU"/>
              </w:rPr>
              <w:t xml:space="preserve"> </w:t>
            </w:r>
          </w:p>
        </w:tc>
        <w:tc>
          <w:tcPr>
            <w:tcW w:w="2501" w:type="pct"/>
            <w:shd w:val="clear" w:color="auto" w:fill="D6E3BC" w:themeFill="accent3" w:themeFillTint="66"/>
          </w:tcPr>
          <w:p w14:paraId="3C28CD50" w14:textId="363D71CA" w:rsidR="00A82D70" w:rsidRPr="00932F72" w:rsidRDefault="00A82D70" w:rsidP="003001A8">
            <w:pPr>
              <w:spacing w:before="120" w:after="120"/>
              <w:rPr>
                <w:rFonts w:cs="Arial"/>
                <w:b/>
                <w:lang w:val="en-AU"/>
              </w:rPr>
            </w:pPr>
            <w:r>
              <w:rPr>
                <w:rFonts w:cs="Arial"/>
                <w:b/>
                <w:lang w:val="en-AU"/>
              </w:rPr>
              <w:t>Assessment</w:t>
            </w:r>
          </w:p>
        </w:tc>
      </w:tr>
      <w:tr w:rsidR="00A82D70" w:rsidRPr="00932F72" w14:paraId="768C9937" w14:textId="77777777" w:rsidTr="00A269D0">
        <w:tc>
          <w:tcPr>
            <w:tcW w:w="2499" w:type="pct"/>
          </w:tcPr>
          <w:p w14:paraId="300FB2E4" w14:textId="77777777" w:rsidR="00A82D70" w:rsidRPr="00F86EEB" w:rsidRDefault="00A82D70" w:rsidP="008D08E0">
            <w:pPr>
              <w:rPr>
                <w:rFonts w:cs="Arial"/>
                <w:b/>
                <w:sz w:val="20"/>
                <w:lang w:val="en-AU"/>
              </w:rPr>
            </w:pPr>
            <w:r w:rsidRPr="00F86EEB">
              <w:rPr>
                <w:rFonts w:cs="Arial"/>
                <w:sz w:val="20"/>
                <w:lang w:val="en-AU"/>
              </w:rPr>
              <w:t>(a) The regulation of infant formula products should recognise that breastfeeding is the normal and recommended way to feed an infant.</w:t>
            </w:r>
          </w:p>
        </w:tc>
        <w:tc>
          <w:tcPr>
            <w:tcW w:w="2501" w:type="pct"/>
          </w:tcPr>
          <w:p w14:paraId="12CF92FE" w14:textId="42DE990B" w:rsidR="00A82D70" w:rsidRPr="0049573E" w:rsidRDefault="00A82D70" w:rsidP="003001A8">
            <w:pPr>
              <w:spacing w:after="120"/>
              <w:rPr>
                <w:rFonts w:cs="Arial"/>
                <w:sz w:val="20"/>
                <w:lang w:val="en-AU"/>
              </w:rPr>
            </w:pPr>
            <w:r>
              <w:rPr>
                <w:rFonts w:cs="Arial"/>
                <w:sz w:val="20"/>
                <w:lang w:val="en-AU"/>
              </w:rPr>
              <w:t xml:space="preserve">FSANZ acknowledges in the </w:t>
            </w:r>
            <w:r w:rsidR="002732D4">
              <w:rPr>
                <w:rFonts w:cs="Arial"/>
                <w:sz w:val="20"/>
                <w:lang w:val="en-AU"/>
              </w:rPr>
              <w:t>2</w:t>
            </w:r>
            <w:r w:rsidR="002732D4" w:rsidRPr="002732D4">
              <w:rPr>
                <w:rFonts w:cs="Arial"/>
                <w:sz w:val="20"/>
                <w:vertAlign w:val="superscript"/>
                <w:lang w:val="en-AU"/>
              </w:rPr>
              <w:t>nd</w:t>
            </w:r>
            <w:r w:rsidR="002732D4">
              <w:rPr>
                <w:rFonts w:cs="Arial"/>
                <w:sz w:val="20"/>
                <w:lang w:val="en-AU"/>
              </w:rPr>
              <w:t xml:space="preserve"> </w:t>
            </w:r>
            <w:r w:rsidR="005A7BCB">
              <w:rPr>
                <w:rFonts w:cs="Arial"/>
                <w:sz w:val="20"/>
                <w:lang w:val="en-AU"/>
              </w:rPr>
              <w:t xml:space="preserve">CFS </w:t>
            </w:r>
            <w:r w:rsidRPr="0049573E">
              <w:rPr>
                <w:rFonts w:cs="Arial"/>
                <w:sz w:val="20"/>
                <w:lang w:val="en-AU"/>
              </w:rPr>
              <w:t>report that breastfeeding is the recommended way to feed an infant.</w:t>
            </w:r>
          </w:p>
        </w:tc>
      </w:tr>
      <w:tr w:rsidR="00A82D70" w:rsidRPr="00932F72" w14:paraId="307265C5" w14:textId="77777777" w:rsidTr="00A269D0">
        <w:tc>
          <w:tcPr>
            <w:tcW w:w="2499" w:type="pct"/>
          </w:tcPr>
          <w:p w14:paraId="0ADEB810" w14:textId="77777777" w:rsidR="00A82D70" w:rsidRPr="00F86EEB" w:rsidRDefault="00A82D70" w:rsidP="008D08E0">
            <w:pPr>
              <w:rPr>
                <w:rFonts w:cs="Arial"/>
                <w:sz w:val="20"/>
                <w:lang w:val="en-AU"/>
              </w:rPr>
            </w:pPr>
            <w:r w:rsidRPr="00F86EEB">
              <w:rPr>
                <w:rFonts w:cs="Arial"/>
                <w:sz w:val="20"/>
                <w:lang w:val="en-AU"/>
              </w:rPr>
              <w:t>(b) The regulation of infant formula products should not be inconsistent with the national nutrition policies and guidelines of Australia and New Zealand that are relevant to infant feeding.</w:t>
            </w:r>
          </w:p>
        </w:tc>
        <w:tc>
          <w:tcPr>
            <w:tcW w:w="2501" w:type="pct"/>
          </w:tcPr>
          <w:p w14:paraId="6C343339" w14:textId="21746EBC" w:rsidR="00A82D70" w:rsidRPr="00F86EEB" w:rsidRDefault="00A82D70" w:rsidP="003001A8">
            <w:pPr>
              <w:spacing w:after="120"/>
              <w:rPr>
                <w:rFonts w:cs="Arial"/>
                <w:sz w:val="20"/>
                <w:lang w:val="en-AU"/>
              </w:rPr>
            </w:pPr>
            <w:r w:rsidRPr="00A82D70">
              <w:rPr>
                <w:rFonts w:cs="Arial"/>
                <w:sz w:val="20"/>
                <w:lang w:val="en-AU"/>
              </w:rPr>
              <w:t xml:space="preserve">The proposed </w:t>
            </w:r>
            <w:r w:rsidR="00113A1C">
              <w:rPr>
                <w:rFonts w:cs="Arial"/>
                <w:sz w:val="20"/>
                <w:lang w:val="en-AU"/>
              </w:rPr>
              <w:t>voluntary addition of 2</w:t>
            </w:r>
            <w:r w:rsidR="005D4C6E">
              <w:rPr>
                <w:rFonts w:cs="Arial"/>
                <w:sz w:val="20"/>
                <w:lang w:val="en-AU"/>
              </w:rPr>
              <w:t>′</w:t>
            </w:r>
            <w:r w:rsidR="00113A1C">
              <w:rPr>
                <w:rFonts w:cs="Arial"/>
                <w:sz w:val="20"/>
                <w:lang w:val="en-AU"/>
              </w:rPr>
              <w:t>-FL and LNnT</w:t>
            </w:r>
            <w:r w:rsidRPr="00A82D70">
              <w:rPr>
                <w:rFonts w:cs="Arial"/>
                <w:sz w:val="20"/>
                <w:lang w:val="en-AU"/>
              </w:rPr>
              <w:t xml:space="preserve"> is not inconsistent with current national nutrition polices and guidelines for infant feeding.</w:t>
            </w:r>
            <w:r w:rsidRPr="00F86EEB">
              <w:rPr>
                <w:rFonts w:cs="Arial"/>
                <w:sz w:val="20"/>
                <w:lang w:val="en-AU"/>
              </w:rPr>
              <w:t xml:space="preserve"> </w:t>
            </w:r>
          </w:p>
        </w:tc>
      </w:tr>
      <w:tr w:rsidR="00A82D70" w:rsidRPr="00932F72" w14:paraId="4E10D91D" w14:textId="77777777" w:rsidTr="00A269D0">
        <w:tc>
          <w:tcPr>
            <w:tcW w:w="2499" w:type="pct"/>
          </w:tcPr>
          <w:p w14:paraId="2FB716A0" w14:textId="77777777" w:rsidR="00A82D70" w:rsidRPr="00F86EEB" w:rsidRDefault="00A82D70" w:rsidP="008D08E0">
            <w:pPr>
              <w:rPr>
                <w:rFonts w:cs="Arial"/>
                <w:b/>
                <w:sz w:val="20"/>
                <w:lang w:val="en-AU"/>
              </w:rPr>
            </w:pPr>
            <w:r w:rsidRPr="00F86EEB">
              <w:rPr>
                <w:rFonts w:cs="Arial"/>
                <w:sz w:val="20"/>
                <w:lang w:val="en-AU"/>
              </w:rPr>
              <w:t>(c) The regulation of infant formula products should be based on risk analysis, taking into account the vulnerability of the population for whom they are intended and the importance of these products in the diets of formula fed infants.</w:t>
            </w:r>
          </w:p>
        </w:tc>
        <w:tc>
          <w:tcPr>
            <w:tcW w:w="2501" w:type="pct"/>
          </w:tcPr>
          <w:p w14:paraId="28F82441" w14:textId="5F61EF25" w:rsidR="00A0196E" w:rsidRDefault="00A82D70" w:rsidP="003001A8">
            <w:pPr>
              <w:spacing w:after="120"/>
              <w:rPr>
                <w:rFonts w:cs="Arial"/>
                <w:sz w:val="20"/>
                <w:lang w:val="en-AU"/>
              </w:rPr>
            </w:pPr>
            <w:r>
              <w:rPr>
                <w:rFonts w:cs="Arial"/>
                <w:sz w:val="20"/>
                <w:lang w:val="en-AU"/>
              </w:rPr>
              <w:t>FSANZ has assessed the a</w:t>
            </w:r>
            <w:r w:rsidRPr="00F86EEB">
              <w:rPr>
                <w:rFonts w:cs="Arial"/>
                <w:sz w:val="20"/>
                <w:lang w:val="en-AU"/>
              </w:rPr>
              <w:t xml:space="preserve">pplication using a risk analysis approach. </w:t>
            </w:r>
          </w:p>
          <w:p w14:paraId="6663E5A2" w14:textId="1AF565D9" w:rsidR="00A0196E" w:rsidRDefault="00A82D70" w:rsidP="003001A8">
            <w:pPr>
              <w:spacing w:after="120"/>
              <w:rPr>
                <w:rFonts w:cs="Arial"/>
                <w:sz w:val="20"/>
                <w:lang w:val="en-AU"/>
              </w:rPr>
            </w:pPr>
            <w:r>
              <w:rPr>
                <w:rFonts w:cs="Arial"/>
                <w:sz w:val="20"/>
                <w:lang w:val="en-AU"/>
              </w:rPr>
              <w:t xml:space="preserve">The </w:t>
            </w:r>
            <w:r w:rsidR="00B03490">
              <w:rPr>
                <w:rFonts w:cs="Arial"/>
                <w:sz w:val="20"/>
                <w:lang w:val="en-AU"/>
              </w:rPr>
              <w:t>s</w:t>
            </w:r>
            <w:r>
              <w:rPr>
                <w:rFonts w:cs="Arial"/>
                <w:sz w:val="20"/>
                <w:lang w:val="en-AU"/>
              </w:rPr>
              <w:t xml:space="preserve">afety, technical and health </w:t>
            </w:r>
            <w:r w:rsidR="00A0196E">
              <w:rPr>
                <w:rFonts w:cs="Arial"/>
                <w:sz w:val="20"/>
                <w:lang w:val="en-AU"/>
              </w:rPr>
              <w:t xml:space="preserve">effects </w:t>
            </w:r>
            <w:r>
              <w:rPr>
                <w:rFonts w:cs="Arial"/>
                <w:sz w:val="20"/>
                <w:lang w:val="en-AU"/>
              </w:rPr>
              <w:t xml:space="preserve">assessment (SD1) considered </w:t>
            </w:r>
            <w:r w:rsidR="00840B82">
              <w:rPr>
                <w:rFonts w:cs="Arial"/>
                <w:sz w:val="20"/>
                <w:lang w:val="en-AU"/>
              </w:rPr>
              <w:t>whether</w:t>
            </w:r>
            <w:r>
              <w:rPr>
                <w:rFonts w:cs="Arial"/>
                <w:sz w:val="20"/>
                <w:lang w:val="en-AU"/>
              </w:rPr>
              <w:t xml:space="preserve"> addition of 2</w:t>
            </w:r>
            <w:r w:rsidR="005D4C6E">
              <w:rPr>
                <w:rFonts w:cs="Arial"/>
                <w:sz w:val="20"/>
                <w:lang w:val="en-AU"/>
              </w:rPr>
              <w:t>′</w:t>
            </w:r>
            <w:r>
              <w:rPr>
                <w:rFonts w:cs="Arial"/>
                <w:sz w:val="20"/>
                <w:lang w:val="en-AU"/>
              </w:rPr>
              <w:t xml:space="preserve">-FL alone </w:t>
            </w:r>
            <w:r w:rsidR="00840B82">
              <w:rPr>
                <w:rFonts w:cs="Arial"/>
                <w:sz w:val="20"/>
                <w:lang w:val="en-AU"/>
              </w:rPr>
              <w:t xml:space="preserve">or combined </w:t>
            </w:r>
            <w:r>
              <w:rPr>
                <w:rFonts w:cs="Arial"/>
                <w:sz w:val="20"/>
                <w:lang w:val="en-AU"/>
              </w:rPr>
              <w:t xml:space="preserve">with LNnT </w:t>
            </w:r>
            <w:r w:rsidR="00840B82">
              <w:rPr>
                <w:rFonts w:cs="Arial"/>
                <w:sz w:val="20"/>
                <w:lang w:val="en-AU"/>
              </w:rPr>
              <w:t xml:space="preserve">to infant formula products would pose a public health and </w:t>
            </w:r>
            <w:r w:rsidR="00DF1B8F">
              <w:rPr>
                <w:rFonts w:cs="Arial"/>
                <w:sz w:val="20"/>
                <w:lang w:val="en-AU"/>
              </w:rPr>
              <w:t>safety</w:t>
            </w:r>
            <w:r w:rsidR="00840B82">
              <w:rPr>
                <w:rFonts w:cs="Arial"/>
                <w:sz w:val="20"/>
                <w:lang w:val="en-AU"/>
              </w:rPr>
              <w:t xml:space="preserve"> risk to the intended population (i.e. formula-fed infants). </w:t>
            </w:r>
            <w:r w:rsidR="000A5FAA">
              <w:rPr>
                <w:rFonts w:cs="Arial"/>
                <w:sz w:val="20"/>
                <w:lang w:val="en-AU"/>
              </w:rPr>
              <w:t xml:space="preserve">This </w:t>
            </w:r>
            <w:r w:rsidR="00C442C9">
              <w:rPr>
                <w:rFonts w:cs="Arial"/>
                <w:sz w:val="20"/>
                <w:lang w:val="en-AU"/>
              </w:rPr>
              <w:t xml:space="preserve">assessment </w:t>
            </w:r>
            <w:r w:rsidR="000A5FAA">
              <w:rPr>
                <w:rFonts w:cs="Arial"/>
                <w:sz w:val="20"/>
                <w:lang w:val="en-AU"/>
              </w:rPr>
              <w:t xml:space="preserve">included </w:t>
            </w:r>
            <w:r w:rsidR="00C442C9">
              <w:rPr>
                <w:rFonts w:cs="Arial"/>
                <w:sz w:val="20"/>
                <w:lang w:val="en-AU"/>
              </w:rPr>
              <w:t>consideration of</w:t>
            </w:r>
            <w:r w:rsidR="00840B82">
              <w:rPr>
                <w:rFonts w:cs="Arial"/>
                <w:sz w:val="20"/>
                <w:lang w:val="en-AU"/>
              </w:rPr>
              <w:t xml:space="preserve"> </w:t>
            </w:r>
            <w:r w:rsidR="000A5FAA">
              <w:rPr>
                <w:rFonts w:cs="Arial"/>
                <w:sz w:val="20"/>
                <w:lang w:val="en-AU"/>
              </w:rPr>
              <w:t xml:space="preserve">the safety of these substances derived </w:t>
            </w:r>
            <w:r w:rsidR="00A0196E" w:rsidRPr="007C1B7E">
              <w:rPr>
                <w:rFonts w:cs="Arial"/>
                <w:sz w:val="20"/>
                <w:lang w:val="en-AU"/>
              </w:rPr>
              <w:t xml:space="preserve">from </w:t>
            </w:r>
            <w:r w:rsidR="00B03490">
              <w:rPr>
                <w:rFonts w:cs="Arial"/>
                <w:sz w:val="20"/>
                <w:lang w:val="en-AU"/>
              </w:rPr>
              <w:t>the applicant</w:t>
            </w:r>
            <w:r w:rsidR="002732D4">
              <w:rPr>
                <w:rFonts w:cs="Arial"/>
                <w:sz w:val="20"/>
                <w:lang w:val="en-AU"/>
              </w:rPr>
              <w:t>’</w:t>
            </w:r>
            <w:r w:rsidR="00B03490">
              <w:rPr>
                <w:rFonts w:cs="Arial"/>
                <w:sz w:val="20"/>
                <w:lang w:val="en-AU"/>
              </w:rPr>
              <w:t xml:space="preserve">s </w:t>
            </w:r>
            <w:r w:rsidR="00A0196E" w:rsidRPr="007C1B7E">
              <w:rPr>
                <w:rFonts w:cs="Arial"/>
                <w:sz w:val="20"/>
                <w:lang w:val="en-AU"/>
              </w:rPr>
              <w:t xml:space="preserve">GM </w:t>
            </w:r>
            <w:r w:rsidR="00A0196E">
              <w:rPr>
                <w:rFonts w:cs="Arial"/>
                <w:sz w:val="20"/>
                <w:lang w:val="en-AU"/>
              </w:rPr>
              <w:t xml:space="preserve">production </w:t>
            </w:r>
            <w:r w:rsidR="00A0196E" w:rsidRPr="007C1B7E">
              <w:rPr>
                <w:rFonts w:cs="Arial"/>
                <w:sz w:val="20"/>
                <w:lang w:val="en-AU"/>
              </w:rPr>
              <w:t>strains</w:t>
            </w:r>
            <w:r w:rsidR="000A5FAA">
              <w:rPr>
                <w:rFonts w:cs="Arial"/>
                <w:sz w:val="20"/>
                <w:lang w:val="en-AU"/>
              </w:rPr>
              <w:t>,</w:t>
            </w:r>
            <w:r w:rsidR="00840B82">
              <w:rPr>
                <w:rFonts w:cs="Arial"/>
                <w:sz w:val="20"/>
                <w:lang w:val="en-AU"/>
              </w:rPr>
              <w:t xml:space="preserve"> </w:t>
            </w:r>
            <w:r w:rsidR="00C442C9">
              <w:rPr>
                <w:rFonts w:cs="Arial"/>
                <w:sz w:val="20"/>
                <w:lang w:val="en-AU"/>
              </w:rPr>
              <w:t xml:space="preserve">effect on infant growth, </w:t>
            </w:r>
            <w:r w:rsidR="00840B82">
              <w:rPr>
                <w:rFonts w:cs="Arial"/>
                <w:sz w:val="20"/>
                <w:lang w:val="en-AU"/>
              </w:rPr>
              <w:t xml:space="preserve">toxicological </w:t>
            </w:r>
            <w:r w:rsidR="00C442C9">
              <w:rPr>
                <w:rFonts w:cs="Arial"/>
                <w:sz w:val="20"/>
                <w:lang w:val="en-AU"/>
              </w:rPr>
              <w:t xml:space="preserve">and dietary intake assessments, </w:t>
            </w:r>
            <w:r w:rsidR="000A5FAA">
              <w:rPr>
                <w:rFonts w:cs="Arial"/>
                <w:sz w:val="20"/>
                <w:lang w:val="en-AU"/>
              </w:rPr>
              <w:t xml:space="preserve">and a comparative assessment </w:t>
            </w:r>
            <w:r w:rsidR="003A4B26">
              <w:rPr>
                <w:rFonts w:cs="Arial"/>
                <w:sz w:val="20"/>
                <w:lang w:val="en-AU"/>
              </w:rPr>
              <w:t>with</w:t>
            </w:r>
            <w:r w:rsidR="000A5FAA">
              <w:rPr>
                <w:rFonts w:cs="Arial"/>
                <w:sz w:val="20"/>
                <w:lang w:val="en-AU"/>
              </w:rPr>
              <w:t xml:space="preserve"> the substances naturally </w:t>
            </w:r>
            <w:r w:rsidR="00785246">
              <w:rPr>
                <w:rFonts w:cs="Arial"/>
                <w:sz w:val="20"/>
                <w:lang w:val="en-AU"/>
              </w:rPr>
              <w:t>present in human</w:t>
            </w:r>
            <w:r w:rsidR="000A5FAA">
              <w:rPr>
                <w:rFonts w:cs="Arial"/>
                <w:sz w:val="20"/>
                <w:lang w:val="en-AU"/>
              </w:rPr>
              <w:t xml:space="preserve"> milk.</w:t>
            </w:r>
          </w:p>
          <w:p w14:paraId="56DC8F29" w14:textId="5350FC44" w:rsidR="00A82D70" w:rsidRDefault="00A82D70" w:rsidP="003001A8">
            <w:pPr>
              <w:spacing w:after="120"/>
              <w:rPr>
                <w:rFonts w:cs="Arial"/>
                <w:sz w:val="20"/>
                <w:lang w:val="en-AU"/>
              </w:rPr>
            </w:pPr>
            <w:r>
              <w:rPr>
                <w:rFonts w:cs="Arial"/>
                <w:sz w:val="20"/>
                <w:lang w:val="en-AU"/>
              </w:rPr>
              <w:t>The risk management considered the vulnerability of the intended population.</w:t>
            </w:r>
          </w:p>
          <w:p w14:paraId="63885F4E" w14:textId="7996698C" w:rsidR="00712152" w:rsidRPr="005647B6" w:rsidRDefault="00712152" w:rsidP="00840B82">
            <w:pPr>
              <w:spacing w:after="120"/>
              <w:rPr>
                <w:rFonts w:cs="Arial"/>
                <w:sz w:val="20"/>
                <w:highlight w:val="yellow"/>
                <w:lang w:val="en-AU"/>
              </w:rPr>
            </w:pPr>
            <w:r>
              <w:rPr>
                <w:rFonts w:cs="Arial"/>
                <w:sz w:val="20"/>
                <w:lang w:val="en-AU"/>
              </w:rPr>
              <w:t>The identi</w:t>
            </w:r>
            <w:r w:rsidR="00062A01">
              <w:rPr>
                <w:rFonts w:cs="Arial"/>
                <w:sz w:val="20"/>
                <w:lang w:val="en-AU"/>
              </w:rPr>
              <w:t>t</w:t>
            </w:r>
            <w:r>
              <w:rPr>
                <w:rFonts w:cs="Arial"/>
                <w:sz w:val="20"/>
                <w:lang w:val="en-AU"/>
              </w:rPr>
              <w:t xml:space="preserve">y and purity specifications </w:t>
            </w:r>
            <w:r w:rsidR="00840B82">
              <w:rPr>
                <w:rFonts w:cs="Arial"/>
                <w:sz w:val="20"/>
                <w:lang w:val="en-AU"/>
              </w:rPr>
              <w:t xml:space="preserve">for 2′-FL and LNnT </w:t>
            </w:r>
            <w:r>
              <w:rPr>
                <w:rFonts w:cs="Arial"/>
                <w:sz w:val="20"/>
                <w:lang w:val="en-AU"/>
              </w:rPr>
              <w:t xml:space="preserve">were considered and </w:t>
            </w:r>
            <w:r w:rsidR="002732D4">
              <w:rPr>
                <w:rFonts w:cs="Arial"/>
                <w:sz w:val="20"/>
                <w:lang w:val="en-AU"/>
              </w:rPr>
              <w:t>are proposed to be prescribed</w:t>
            </w:r>
            <w:r w:rsidR="00840B82">
              <w:rPr>
                <w:rFonts w:cs="Arial"/>
                <w:sz w:val="20"/>
                <w:lang w:val="en-AU"/>
              </w:rPr>
              <w:t xml:space="preserve"> in the Code</w:t>
            </w:r>
            <w:r>
              <w:rPr>
                <w:rFonts w:cs="Arial"/>
                <w:sz w:val="20"/>
                <w:lang w:val="en-AU"/>
              </w:rPr>
              <w:t>.</w:t>
            </w:r>
          </w:p>
        </w:tc>
      </w:tr>
      <w:tr w:rsidR="00A82D70" w:rsidRPr="00932F72" w14:paraId="253959E0" w14:textId="77777777" w:rsidTr="00A269D0">
        <w:tc>
          <w:tcPr>
            <w:tcW w:w="2499" w:type="pct"/>
          </w:tcPr>
          <w:p w14:paraId="42D31E45" w14:textId="04E81774" w:rsidR="00A82D70" w:rsidRPr="00F86EEB" w:rsidRDefault="00A82D70" w:rsidP="008D08E0">
            <w:pPr>
              <w:rPr>
                <w:rFonts w:cs="Arial"/>
                <w:sz w:val="20"/>
                <w:lang w:val="en-AU"/>
              </w:rPr>
            </w:pPr>
            <w:r w:rsidRPr="00F86EEB">
              <w:rPr>
                <w:rFonts w:cs="Arial"/>
                <w:sz w:val="20"/>
                <w:lang w:val="en-AU"/>
              </w:rPr>
              <w:t>(d) The composition of infant formula must be safe, suitable for the intended use and must strive to achieve as closely as possible the normal growth and development (as measured by appropriate physiological, biochemical and/or functional outcomes) of healthy full term exclusively breastfed infants when infant formula used as the sole source of nutrition up to six months of age.</w:t>
            </w:r>
          </w:p>
        </w:tc>
        <w:tc>
          <w:tcPr>
            <w:tcW w:w="2501" w:type="pct"/>
          </w:tcPr>
          <w:p w14:paraId="3375E12E" w14:textId="1B8A07A4" w:rsidR="00F63F03" w:rsidRDefault="00B03490" w:rsidP="003001A8">
            <w:pPr>
              <w:rPr>
                <w:rFonts w:cs="Arial"/>
                <w:sz w:val="20"/>
                <w:lang w:val="en-AU"/>
              </w:rPr>
            </w:pPr>
            <w:r>
              <w:rPr>
                <w:rFonts w:cs="Arial"/>
                <w:sz w:val="20"/>
                <w:lang w:val="en-AU"/>
              </w:rPr>
              <w:t>The s</w:t>
            </w:r>
            <w:r w:rsidR="00F8105D" w:rsidRPr="00F8105D">
              <w:rPr>
                <w:rFonts w:cs="Arial"/>
                <w:sz w:val="20"/>
                <w:lang w:val="en-AU"/>
              </w:rPr>
              <w:t>afety, technical and health ef</w:t>
            </w:r>
            <w:r w:rsidR="00AD349A">
              <w:rPr>
                <w:rFonts w:cs="Arial"/>
                <w:sz w:val="20"/>
                <w:lang w:val="en-AU"/>
              </w:rPr>
              <w:t>fects assessment, which included an assessment on infant growth, concluded that there are no public health and safety concerns associated with the addition of 2</w:t>
            </w:r>
            <w:r w:rsidR="005D4C6E">
              <w:rPr>
                <w:rFonts w:cs="Arial"/>
                <w:sz w:val="20"/>
                <w:lang w:val="en-AU"/>
              </w:rPr>
              <w:t>′</w:t>
            </w:r>
            <w:r w:rsidR="00AD349A">
              <w:rPr>
                <w:rFonts w:cs="Arial"/>
                <w:sz w:val="20"/>
                <w:lang w:val="en-AU"/>
              </w:rPr>
              <w:t xml:space="preserve">-FL </w:t>
            </w:r>
            <w:r w:rsidR="0089085D">
              <w:rPr>
                <w:rFonts w:cs="Arial"/>
                <w:sz w:val="20"/>
                <w:lang w:val="en-AU"/>
              </w:rPr>
              <w:t xml:space="preserve">alone or with LNnT at </w:t>
            </w:r>
            <w:r w:rsidR="00030564">
              <w:rPr>
                <w:rFonts w:cs="Arial"/>
                <w:sz w:val="20"/>
                <w:lang w:val="en-AU"/>
              </w:rPr>
              <w:t xml:space="preserve">the levels requested, or at higher </w:t>
            </w:r>
            <w:r w:rsidR="0089085D">
              <w:rPr>
                <w:rFonts w:cs="Arial"/>
                <w:sz w:val="20"/>
                <w:lang w:val="en-AU"/>
              </w:rPr>
              <w:t>levels up to</w:t>
            </w:r>
            <w:r w:rsidR="00AD349A">
              <w:rPr>
                <w:rFonts w:cs="Arial"/>
                <w:sz w:val="20"/>
                <w:lang w:val="en-AU"/>
              </w:rPr>
              <w:t xml:space="preserve"> 2.4 g/L</w:t>
            </w:r>
            <w:r w:rsidR="0089085D">
              <w:rPr>
                <w:rFonts w:cs="Arial"/>
                <w:sz w:val="20"/>
                <w:lang w:val="en-AU"/>
              </w:rPr>
              <w:t xml:space="preserve"> of</w:t>
            </w:r>
            <w:r w:rsidR="00AD349A">
              <w:rPr>
                <w:rFonts w:cs="Arial"/>
                <w:sz w:val="20"/>
                <w:lang w:val="en-AU"/>
              </w:rPr>
              <w:t xml:space="preserve"> 2</w:t>
            </w:r>
            <w:r w:rsidR="005D4C6E">
              <w:rPr>
                <w:rFonts w:cs="Arial"/>
                <w:sz w:val="20"/>
                <w:lang w:val="en-AU"/>
              </w:rPr>
              <w:t>′</w:t>
            </w:r>
            <w:r w:rsidR="00AD349A">
              <w:rPr>
                <w:rFonts w:cs="Arial"/>
                <w:sz w:val="20"/>
                <w:lang w:val="en-AU"/>
              </w:rPr>
              <w:t>-FL</w:t>
            </w:r>
            <w:r w:rsidR="0089085D">
              <w:rPr>
                <w:rFonts w:cs="Arial"/>
                <w:sz w:val="20"/>
                <w:lang w:val="en-AU"/>
              </w:rPr>
              <w:t>, to infant formula products</w:t>
            </w:r>
            <w:r w:rsidR="00E55887">
              <w:rPr>
                <w:rFonts w:cs="Arial"/>
                <w:sz w:val="20"/>
                <w:lang w:val="en-AU"/>
              </w:rPr>
              <w:t xml:space="preserve"> (includes infant formula, follow-on formula and infant formula for special dietary use)</w:t>
            </w:r>
            <w:r w:rsidR="00F63F03">
              <w:rPr>
                <w:rFonts w:cs="Arial"/>
                <w:sz w:val="20"/>
                <w:lang w:val="en-AU"/>
              </w:rPr>
              <w:t>, noting:</w:t>
            </w:r>
          </w:p>
          <w:p w14:paraId="71D8A006" w14:textId="448EDF5B" w:rsidR="00F63F03" w:rsidRDefault="00AD349A" w:rsidP="003001A8">
            <w:pPr>
              <w:pStyle w:val="ListParagraph"/>
              <w:numPr>
                <w:ilvl w:val="0"/>
                <w:numId w:val="15"/>
              </w:numPr>
              <w:spacing w:after="120"/>
              <w:rPr>
                <w:rFonts w:cs="Arial"/>
                <w:sz w:val="20"/>
                <w:lang w:val="en-AU"/>
              </w:rPr>
            </w:pPr>
            <w:r w:rsidRPr="00F63F03">
              <w:rPr>
                <w:rFonts w:cs="Arial"/>
                <w:sz w:val="20"/>
                <w:lang w:val="en-AU"/>
              </w:rPr>
              <w:t>2</w:t>
            </w:r>
            <w:r w:rsidR="005D4C6E" w:rsidRPr="00F63F03">
              <w:rPr>
                <w:rFonts w:cs="Arial"/>
                <w:sz w:val="20"/>
                <w:lang w:val="en-AU"/>
              </w:rPr>
              <w:t>′</w:t>
            </w:r>
            <w:r w:rsidRPr="00F63F03">
              <w:rPr>
                <w:rFonts w:cs="Arial"/>
                <w:sz w:val="20"/>
                <w:lang w:val="en-AU"/>
              </w:rPr>
              <w:t xml:space="preserve">-FL </w:t>
            </w:r>
            <w:r w:rsidR="00E54CF0" w:rsidRPr="00F63F03">
              <w:rPr>
                <w:rFonts w:cs="Arial"/>
                <w:sz w:val="20"/>
                <w:lang w:val="en-AU"/>
              </w:rPr>
              <w:t xml:space="preserve">is secreted </w:t>
            </w:r>
            <w:r w:rsidR="00E627DD" w:rsidRPr="00F63F03">
              <w:rPr>
                <w:rFonts w:cs="Arial"/>
                <w:sz w:val="20"/>
                <w:lang w:val="en-AU"/>
              </w:rPr>
              <w:t>by the</w:t>
            </w:r>
            <w:r w:rsidR="00E54CF0" w:rsidRPr="00F63F03">
              <w:rPr>
                <w:rFonts w:cs="Arial"/>
                <w:sz w:val="20"/>
                <w:lang w:val="en-AU"/>
              </w:rPr>
              <w:t xml:space="preserve"> majority of women</w:t>
            </w:r>
            <w:r w:rsidR="00E627DD" w:rsidRPr="00F63F03">
              <w:rPr>
                <w:rFonts w:cs="Arial"/>
                <w:sz w:val="20"/>
                <w:lang w:val="en-AU"/>
              </w:rPr>
              <w:t xml:space="preserve"> worldwide</w:t>
            </w:r>
            <w:r w:rsidR="00E54CF0" w:rsidRPr="00F63F03">
              <w:rPr>
                <w:rFonts w:cs="Arial"/>
                <w:sz w:val="20"/>
                <w:lang w:val="en-AU"/>
              </w:rPr>
              <w:t xml:space="preserve"> </w:t>
            </w:r>
            <w:r w:rsidRPr="00F63F03">
              <w:rPr>
                <w:rFonts w:cs="Arial"/>
                <w:sz w:val="20"/>
                <w:lang w:val="en-AU"/>
              </w:rPr>
              <w:t xml:space="preserve">and LNnT </w:t>
            </w:r>
            <w:r w:rsidR="00E54CF0" w:rsidRPr="00F63F03">
              <w:rPr>
                <w:rFonts w:cs="Arial"/>
                <w:sz w:val="20"/>
                <w:lang w:val="en-AU"/>
              </w:rPr>
              <w:t>is always</w:t>
            </w:r>
            <w:r w:rsidRPr="00F63F03">
              <w:rPr>
                <w:rFonts w:cs="Arial"/>
                <w:sz w:val="20"/>
                <w:lang w:val="en-AU"/>
              </w:rPr>
              <w:t xml:space="preserve"> present in human milk, providing a history of </w:t>
            </w:r>
            <w:r w:rsidR="005D4AB7" w:rsidRPr="00F63F03">
              <w:rPr>
                <w:rFonts w:cs="Arial"/>
                <w:sz w:val="20"/>
                <w:lang w:val="en-AU"/>
              </w:rPr>
              <w:t>safe intakes</w:t>
            </w:r>
            <w:r w:rsidR="00893078">
              <w:rPr>
                <w:rFonts w:cs="Arial"/>
                <w:sz w:val="20"/>
                <w:lang w:val="en-AU"/>
              </w:rPr>
              <w:t xml:space="preserve"> for breastfed infants</w:t>
            </w:r>
            <w:r w:rsidR="00E54CF0" w:rsidRPr="00F63F03">
              <w:rPr>
                <w:rFonts w:cs="Arial"/>
                <w:sz w:val="20"/>
                <w:lang w:val="en-AU"/>
              </w:rPr>
              <w:t>.</w:t>
            </w:r>
            <w:r w:rsidR="0016709C" w:rsidRPr="00F63F03">
              <w:rPr>
                <w:rFonts w:cs="Arial"/>
                <w:sz w:val="20"/>
                <w:lang w:val="en-AU"/>
              </w:rPr>
              <w:t xml:space="preserve"> </w:t>
            </w:r>
          </w:p>
          <w:p w14:paraId="04795BDD" w14:textId="2E4C5E6E" w:rsidR="00F63F03" w:rsidRPr="00C643C5" w:rsidRDefault="00E54CF0" w:rsidP="003001A8">
            <w:pPr>
              <w:pStyle w:val="ListParagraph"/>
              <w:numPr>
                <w:ilvl w:val="0"/>
                <w:numId w:val="15"/>
              </w:numPr>
              <w:spacing w:after="120"/>
              <w:rPr>
                <w:rFonts w:cs="Arial"/>
                <w:sz w:val="20"/>
                <w:lang w:val="en-AU"/>
              </w:rPr>
            </w:pPr>
            <w:r w:rsidRPr="00F63F03">
              <w:rPr>
                <w:rFonts w:cs="Arial"/>
                <w:sz w:val="20"/>
                <w:lang w:val="en-AU"/>
              </w:rPr>
              <w:t>T</w:t>
            </w:r>
            <w:r w:rsidR="00AD349A" w:rsidRPr="00F63F03">
              <w:rPr>
                <w:rFonts w:cs="Arial"/>
                <w:sz w:val="20"/>
                <w:lang w:val="en-AU"/>
              </w:rPr>
              <w:t xml:space="preserve">he applicant’s </w:t>
            </w:r>
            <w:r w:rsidRPr="00F63F03">
              <w:rPr>
                <w:rFonts w:cs="Arial"/>
                <w:sz w:val="20"/>
                <w:lang w:val="en-AU"/>
              </w:rPr>
              <w:t>2</w:t>
            </w:r>
            <w:r w:rsidR="005D4C6E" w:rsidRPr="00F63F03">
              <w:rPr>
                <w:rFonts w:cs="Arial"/>
                <w:sz w:val="20"/>
                <w:lang w:val="en-AU"/>
              </w:rPr>
              <w:t>′</w:t>
            </w:r>
            <w:r w:rsidRPr="00F63F03">
              <w:rPr>
                <w:rFonts w:cs="Arial"/>
                <w:sz w:val="20"/>
                <w:lang w:val="en-AU"/>
              </w:rPr>
              <w:t xml:space="preserve">-FL and LNnT </w:t>
            </w:r>
            <w:r w:rsidR="00AD349A" w:rsidRPr="00F63F03">
              <w:rPr>
                <w:rFonts w:cs="Arial"/>
                <w:sz w:val="20"/>
                <w:lang w:val="en-AU"/>
              </w:rPr>
              <w:t xml:space="preserve">are </w:t>
            </w:r>
            <w:r w:rsidR="00624835" w:rsidRPr="00F63F03">
              <w:rPr>
                <w:rFonts w:cs="Arial"/>
                <w:sz w:val="20"/>
                <w:lang w:val="en-AU"/>
              </w:rPr>
              <w:t xml:space="preserve">structurally and chemically </w:t>
            </w:r>
            <w:r w:rsidR="00AD349A" w:rsidRPr="00F63F03">
              <w:rPr>
                <w:rFonts w:cs="Arial"/>
                <w:sz w:val="20"/>
                <w:lang w:val="en-AU"/>
              </w:rPr>
              <w:t>identical to those secreted in human milk</w:t>
            </w:r>
            <w:r w:rsidR="002732D4" w:rsidRPr="00F63F03">
              <w:rPr>
                <w:rFonts w:cs="Arial"/>
                <w:sz w:val="20"/>
                <w:lang w:val="en-AU"/>
              </w:rPr>
              <w:t xml:space="preserve"> and the </w:t>
            </w:r>
            <w:r w:rsidR="00F6276F">
              <w:rPr>
                <w:rFonts w:cs="Arial"/>
                <w:sz w:val="20"/>
                <w:lang w:val="en-AU"/>
              </w:rPr>
              <w:t>maximum</w:t>
            </w:r>
            <w:r w:rsidR="002732D4" w:rsidRPr="00F63F03">
              <w:rPr>
                <w:rFonts w:cs="Arial"/>
                <w:sz w:val="20"/>
                <w:lang w:val="en-AU"/>
              </w:rPr>
              <w:t xml:space="preserve"> levels </w:t>
            </w:r>
            <w:r w:rsidR="00F6276F">
              <w:rPr>
                <w:rFonts w:cs="Arial"/>
                <w:sz w:val="20"/>
                <w:lang w:val="en-AU"/>
              </w:rPr>
              <w:t xml:space="preserve">proposed </w:t>
            </w:r>
            <w:r w:rsidR="002732D4" w:rsidRPr="00F63F03">
              <w:rPr>
                <w:rFonts w:cs="Arial"/>
                <w:sz w:val="20"/>
                <w:lang w:val="en-AU"/>
              </w:rPr>
              <w:t xml:space="preserve">are </w:t>
            </w:r>
            <w:r w:rsidR="002732D4" w:rsidRPr="00C643C5">
              <w:rPr>
                <w:rFonts w:cs="Arial"/>
                <w:sz w:val="20"/>
                <w:lang w:val="en-AU"/>
              </w:rPr>
              <w:t xml:space="preserve">within the range of concentrations found in </w:t>
            </w:r>
            <w:r w:rsidR="00DF3177" w:rsidRPr="00C643C5">
              <w:rPr>
                <w:rFonts w:cs="Arial"/>
                <w:sz w:val="20"/>
                <w:lang w:val="en-AU"/>
              </w:rPr>
              <w:t xml:space="preserve">mature </w:t>
            </w:r>
            <w:r w:rsidR="002732D4" w:rsidRPr="00C643C5">
              <w:rPr>
                <w:rFonts w:cs="Arial"/>
                <w:sz w:val="20"/>
                <w:lang w:val="en-AU"/>
              </w:rPr>
              <w:t>human milk.</w:t>
            </w:r>
          </w:p>
          <w:p w14:paraId="099E6442" w14:textId="26B60AD5" w:rsidR="00F63F03" w:rsidRDefault="00F63F03" w:rsidP="003001A8">
            <w:pPr>
              <w:pStyle w:val="ListParagraph"/>
              <w:numPr>
                <w:ilvl w:val="0"/>
                <w:numId w:val="15"/>
              </w:numPr>
              <w:spacing w:after="120"/>
              <w:rPr>
                <w:rFonts w:cs="Arial"/>
                <w:sz w:val="20"/>
                <w:lang w:val="en-AU"/>
              </w:rPr>
            </w:pPr>
            <w:r>
              <w:rPr>
                <w:rFonts w:cs="Arial"/>
                <w:sz w:val="20"/>
                <w:lang w:val="en-AU"/>
              </w:rPr>
              <w:t>I</w:t>
            </w:r>
            <w:r w:rsidR="00DF3177" w:rsidRPr="00F63F03">
              <w:rPr>
                <w:rFonts w:cs="Arial"/>
                <w:sz w:val="20"/>
                <w:lang w:val="en-AU"/>
              </w:rPr>
              <w:t xml:space="preserve">ntestinal </w:t>
            </w:r>
            <w:r w:rsidR="009E31A5">
              <w:rPr>
                <w:rFonts w:cs="Arial"/>
                <w:sz w:val="20"/>
                <w:lang w:val="en-AU"/>
              </w:rPr>
              <w:t>absorption of 2</w:t>
            </w:r>
            <w:r w:rsidR="00CC1A1A">
              <w:rPr>
                <w:rFonts w:cs="Arial"/>
                <w:sz w:val="20"/>
                <w:lang w:val="en-AU"/>
              </w:rPr>
              <w:t>′</w:t>
            </w:r>
            <w:r w:rsidR="009E31A5">
              <w:rPr>
                <w:rFonts w:cs="Arial"/>
                <w:sz w:val="20"/>
                <w:lang w:val="en-AU"/>
              </w:rPr>
              <w:t>-FL and LNnT</w:t>
            </w:r>
            <w:r w:rsidR="00C643C5">
              <w:rPr>
                <w:rFonts w:cs="Arial"/>
                <w:sz w:val="20"/>
                <w:lang w:val="en-AU"/>
              </w:rPr>
              <w:t xml:space="preserve"> </w:t>
            </w:r>
            <w:r w:rsidR="00DF3177" w:rsidRPr="00F63F03">
              <w:rPr>
                <w:rFonts w:cs="Arial"/>
                <w:sz w:val="20"/>
                <w:lang w:val="en-AU"/>
              </w:rPr>
              <w:t>is limited</w:t>
            </w:r>
            <w:r>
              <w:rPr>
                <w:rFonts w:cs="Arial"/>
                <w:sz w:val="20"/>
                <w:lang w:val="en-AU"/>
              </w:rPr>
              <w:t>.</w:t>
            </w:r>
          </w:p>
          <w:p w14:paraId="1A6836AC" w14:textId="09C5B697" w:rsidR="00A82D70" w:rsidRPr="00F63F03" w:rsidRDefault="00F63F03" w:rsidP="003001A8">
            <w:pPr>
              <w:pStyle w:val="ListParagraph"/>
              <w:numPr>
                <w:ilvl w:val="0"/>
                <w:numId w:val="15"/>
              </w:numPr>
              <w:spacing w:after="120"/>
              <w:rPr>
                <w:rFonts w:cs="Arial"/>
                <w:sz w:val="20"/>
                <w:lang w:val="en-AU"/>
              </w:rPr>
            </w:pPr>
            <w:r>
              <w:rPr>
                <w:rFonts w:cs="Arial"/>
                <w:sz w:val="20"/>
                <w:lang w:val="en-AU"/>
              </w:rPr>
              <w:lastRenderedPageBreak/>
              <w:t>N</w:t>
            </w:r>
            <w:r w:rsidR="00DF3177" w:rsidRPr="00F63F03">
              <w:rPr>
                <w:rFonts w:cs="Arial"/>
                <w:sz w:val="20"/>
                <w:lang w:val="en-AU"/>
              </w:rPr>
              <w:t>o adverse effects were o</w:t>
            </w:r>
            <w:r w:rsidRPr="00F63F03">
              <w:rPr>
                <w:rFonts w:cs="Arial"/>
                <w:sz w:val="20"/>
                <w:lang w:val="en-AU"/>
              </w:rPr>
              <w:t xml:space="preserve">bserved at high doses in </w:t>
            </w:r>
            <w:r>
              <w:rPr>
                <w:rFonts w:cs="Arial"/>
                <w:sz w:val="20"/>
                <w:lang w:val="en-AU"/>
              </w:rPr>
              <w:t xml:space="preserve">suitable </w:t>
            </w:r>
            <w:r w:rsidR="00DF3177" w:rsidRPr="00F63F03">
              <w:rPr>
                <w:rFonts w:cs="Arial"/>
                <w:sz w:val="20"/>
                <w:lang w:val="en-AU"/>
              </w:rPr>
              <w:t xml:space="preserve">animal </w:t>
            </w:r>
            <w:r w:rsidRPr="00F63F03">
              <w:rPr>
                <w:rFonts w:cs="Arial"/>
                <w:sz w:val="20"/>
                <w:lang w:val="en-AU"/>
              </w:rPr>
              <w:t>studies</w:t>
            </w:r>
            <w:r>
              <w:rPr>
                <w:rFonts w:cs="Arial"/>
                <w:sz w:val="20"/>
                <w:lang w:val="en-AU"/>
              </w:rPr>
              <w:t xml:space="preserve"> of an appropriate age, or in infant studies</w:t>
            </w:r>
            <w:r w:rsidR="00DF3177" w:rsidRPr="00F63F03">
              <w:rPr>
                <w:rFonts w:cs="Arial"/>
                <w:sz w:val="20"/>
                <w:lang w:val="en-AU"/>
              </w:rPr>
              <w:t xml:space="preserve">. </w:t>
            </w:r>
          </w:p>
        </w:tc>
      </w:tr>
      <w:tr w:rsidR="00A82D70" w:rsidRPr="00932F72" w14:paraId="44BB770D" w14:textId="77777777" w:rsidTr="00A269D0">
        <w:tc>
          <w:tcPr>
            <w:tcW w:w="2499" w:type="pct"/>
          </w:tcPr>
          <w:p w14:paraId="2439AF5B" w14:textId="57AEE886" w:rsidR="00A82D70" w:rsidRPr="00F86EEB" w:rsidRDefault="00A82D70" w:rsidP="008D08E0">
            <w:pPr>
              <w:rPr>
                <w:rFonts w:cs="Arial"/>
                <w:sz w:val="20"/>
                <w:lang w:val="en-AU"/>
              </w:rPr>
            </w:pPr>
            <w:r w:rsidRPr="00F86EEB">
              <w:rPr>
                <w:rFonts w:cs="Arial"/>
                <w:sz w:val="20"/>
                <w:lang w:val="en-AU"/>
              </w:rPr>
              <w:lastRenderedPageBreak/>
              <w:t>(e) The composition of follow-on formula must be safe, suitable for the intended use and must strive to achieve as closely as possible the normal growth and development (as measured by appropriate physiological, biochemical or functional outcomes) of healthy full term breastfed infants at the appropriate age when follow-on formula used as the principal source of liquid nourishment in a progressively diversified diet.</w:t>
            </w:r>
          </w:p>
        </w:tc>
        <w:tc>
          <w:tcPr>
            <w:tcW w:w="2501" w:type="pct"/>
          </w:tcPr>
          <w:p w14:paraId="54090CC0" w14:textId="77777777" w:rsidR="00A82D70" w:rsidRPr="00F86EEB" w:rsidRDefault="00A82D70" w:rsidP="003001A8">
            <w:pPr>
              <w:spacing w:after="120"/>
              <w:rPr>
                <w:rFonts w:cs="Arial"/>
                <w:sz w:val="20"/>
                <w:lang w:val="en-AU"/>
              </w:rPr>
            </w:pPr>
            <w:r w:rsidRPr="00F86EEB">
              <w:rPr>
                <w:rFonts w:cs="Arial"/>
                <w:sz w:val="20"/>
                <w:lang w:val="en-AU"/>
              </w:rPr>
              <w:t>See comments for specific policy principle (d).</w:t>
            </w:r>
          </w:p>
        </w:tc>
      </w:tr>
      <w:tr w:rsidR="00A82D70" w:rsidRPr="00932F72" w14:paraId="1A033F6D" w14:textId="77777777" w:rsidTr="00A269D0">
        <w:tc>
          <w:tcPr>
            <w:tcW w:w="2499" w:type="pct"/>
          </w:tcPr>
          <w:p w14:paraId="66D312A6" w14:textId="2B7B92A4" w:rsidR="00A82D70" w:rsidRPr="00F86EEB" w:rsidRDefault="00A82D70" w:rsidP="008D08E0">
            <w:pPr>
              <w:rPr>
                <w:rFonts w:cs="Arial"/>
                <w:sz w:val="20"/>
                <w:lang w:val="en-AU"/>
              </w:rPr>
            </w:pPr>
            <w:r w:rsidRPr="00F86EEB">
              <w:rPr>
                <w:rFonts w:cs="Arial"/>
                <w:sz w:val="20"/>
                <w:lang w:val="en-AU"/>
              </w:rPr>
              <w:t>(f) The essential compositi</w:t>
            </w:r>
            <w:r>
              <w:rPr>
                <w:rFonts w:cs="Arial"/>
                <w:sz w:val="20"/>
                <w:lang w:val="en-AU"/>
              </w:rPr>
              <w:t>on of infant formula and follow-</w:t>
            </w:r>
            <w:r w:rsidRPr="00F86EEB">
              <w:rPr>
                <w:rFonts w:cs="Arial"/>
                <w:sz w:val="20"/>
                <w:lang w:val="en-AU"/>
              </w:rPr>
              <w:t>on formula should be prescribed in regulation and must satisfy the nutritional requirements of infants.</w:t>
            </w:r>
          </w:p>
        </w:tc>
        <w:tc>
          <w:tcPr>
            <w:tcW w:w="2501" w:type="pct"/>
          </w:tcPr>
          <w:p w14:paraId="4A7F5DD8" w14:textId="41FEE4B9" w:rsidR="00A82D70" w:rsidRPr="00F86EEB" w:rsidRDefault="00A82D70" w:rsidP="003001A8">
            <w:pPr>
              <w:spacing w:after="120"/>
              <w:rPr>
                <w:rFonts w:cs="Arial"/>
                <w:sz w:val="20"/>
                <w:lang w:val="en-AU"/>
              </w:rPr>
            </w:pPr>
            <w:r>
              <w:rPr>
                <w:sz w:val="20"/>
                <w:lang w:val="en-AU"/>
              </w:rPr>
              <w:t>Not applicable to this application</w:t>
            </w:r>
            <w:r w:rsidRPr="00F86EEB">
              <w:rPr>
                <w:sz w:val="20"/>
                <w:lang w:val="en-AU"/>
              </w:rPr>
              <w:t xml:space="preserve"> as the </w:t>
            </w:r>
            <w:r>
              <w:rPr>
                <w:sz w:val="20"/>
                <w:lang w:val="en-AU"/>
              </w:rPr>
              <w:t xml:space="preserve">proposed </w:t>
            </w:r>
            <w:r w:rsidRPr="00F86EEB">
              <w:rPr>
                <w:sz w:val="20"/>
                <w:lang w:val="en-AU"/>
              </w:rPr>
              <w:t xml:space="preserve">permission </w:t>
            </w:r>
            <w:r w:rsidR="00DE3933">
              <w:rPr>
                <w:sz w:val="20"/>
                <w:lang w:val="en-AU"/>
              </w:rPr>
              <w:t xml:space="preserve">is </w:t>
            </w:r>
            <w:r w:rsidR="002B4735">
              <w:rPr>
                <w:sz w:val="20"/>
                <w:lang w:val="en-AU"/>
              </w:rPr>
              <w:t>voluntary</w:t>
            </w:r>
            <w:r w:rsidRPr="00F86EEB">
              <w:rPr>
                <w:sz w:val="20"/>
                <w:lang w:val="en-AU"/>
              </w:rPr>
              <w:t>.</w:t>
            </w:r>
          </w:p>
        </w:tc>
      </w:tr>
      <w:tr w:rsidR="00A82D70" w:rsidRPr="00932F72" w14:paraId="25A534D7" w14:textId="77777777" w:rsidTr="00A269D0">
        <w:tc>
          <w:tcPr>
            <w:tcW w:w="2499" w:type="pct"/>
          </w:tcPr>
          <w:p w14:paraId="09A4EDE0" w14:textId="77777777" w:rsidR="00A82D70" w:rsidRPr="00F86EEB" w:rsidRDefault="00A82D70" w:rsidP="008D08E0">
            <w:pPr>
              <w:rPr>
                <w:rFonts w:cs="Arial"/>
                <w:sz w:val="20"/>
                <w:lang w:val="en-AU"/>
              </w:rPr>
            </w:pPr>
            <w:r w:rsidRPr="00F86EEB">
              <w:rPr>
                <w:rFonts w:cs="Arial"/>
                <w:sz w:val="20"/>
                <w:lang w:val="en-AU"/>
              </w:rPr>
              <w:t>(g) Compositional requirements for infant formula and follow-on formula products should only be mandated in regulation where there is sufficient evidence to demonstrate that they are safe and essential for normal growth and development of infants.</w:t>
            </w:r>
          </w:p>
        </w:tc>
        <w:tc>
          <w:tcPr>
            <w:tcW w:w="2501" w:type="pct"/>
          </w:tcPr>
          <w:p w14:paraId="17466379" w14:textId="2B6F968D" w:rsidR="00A82D70" w:rsidRPr="00F86EEB" w:rsidRDefault="00A82D70" w:rsidP="003001A8">
            <w:pPr>
              <w:spacing w:after="120"/>
              <w:rPr>
                <w:rFonts w:cs="Arial"/>
                <w:b/>
                <w:sz w:val="20"/>
                <w:lang w:val="en-AU"/>
              </w:rPr>
            </w:pPr>
            <w:r>
              <w:rPr>
                <w:sz w:val="20"/>
                <w:lang w:val="en-AU"/>
              </w:rPr>
              <w:t xml:space="preserve">Not applicable to this application </w:t>
            </w:r>
            <w:r w:rsidRPr="00F86EEB">
              <w:rPr>
                <w:sz w:val="20"/>
                <w:lang w:val="en-AU"/>
              </w:rPr>
              <w:t xml:space="preserve">as the </w:t>
            </w:r>
            <w:r>
              <w:rPr>
                <w:sz w:val="20"/>
                <w:lang w:val="en-AU"/>
              </w:rPr>
              <w:t xml:space="preserve">proposed </w:t>
            </w:r>
            <w:r w:rsidRPr="00F86EEB">
              <w:rPr>
                <w:sz w:val="20"/>
                <w:lang w:val="en-AU"/>
              </w:rPr>
              <w:t xml:space="preserve">permission </w:t>
            </w:r>
            <w:r w:rsidR="002B4735">
              <w:rPr>
                <w:sz w:val="20"/>
                <w:lang w:val="en-AU"/>
              </w:rPr>
              <w:t>is voluntary</w:t>
            </w:r>
            <w:r w:rsidRPr="00F86EEB">
              <w:rPr>
                <w:sz w:val="20"/>
                <w:lang w:val="en-AU"/>
              </w:rPr>
              <w:t>.</w:t>
            </w:r>
          </w:p>
        </w:tc>
      </w:tr>
      <w:tr w:rsidR="00A82D70" w:rsidRPr="00932F72" w14:paraId="65BA9A8D" w14:textId="77777777" w:rsidTr="00A269D0">
        <w:tc>
          <w:tcPr>
            <w:tcW w:w="2499" w:type="pct"/>
          </w:tcPr>
          <w:p w14:paraId="4DE8E011" w14:textId="77777777" w:rsidR="00A82D70" w:rsidRPr="00F86EEB" w:rsidRDefault="00A82D70" w:rsidP="008D08E0">
            <w:pPr>
              <w:rPr>
                <w:rFonts w:cs="Arial"/>
                <w:sz w:val="20"/>
                <w:lang w:val="en-AU"/>
              </w:rPr>
            </w:pPr>
            <w:r w:rsidRPr="00F86EEB">
              <w:rPr>
                <w:rFonts w:cs="Arial"/>
                <w:sz w:val="20"/>
                <w:lang w:val="en-AU"/>
              </w:rPr>
              <w:t>(h) The composition of breast milk should be used as a primary reference for determining the composition of infant formula and follow-on formula.</w:t>
            </w:r>
          </w:p>
        </w:tc>
        <w:tc>
          <w:tcPr>
            <w:tcW w:w="2501" w:type="pct"/>
          </w:tcPr>
          <w:p w14:paraId="04915CAA" w14:textId="4E250F41" w:rsidR="00A82D70" w:rsidRDefault="00785246" w:rsidP="003001A8">
            <w:pPr>
              <w:spacing w:after="120"/>
              <w:rPr>
                <w:sz w:val="20"/>
                <w:lang w:val="en-AU" w:bidi="ar-SA"/>
              </w:rPr>
            </w:pPr>
            <w:r>
              <w:rPr>
                <w:sz w:val="20"/>
                <w:lang w:val="en-AU" w:bidi="ar-SA"/>
              </w:rPr>
              <w:t xml:space="preserve">The </w:t>
            </w:r>
            <w:r w:rsidR="00B03490">
              <w:rPr>
                <w:sz w:val="20"/>
                <w:lang w:val="en-AU" w:bidi="ar-SA"/>
              </w:rPr>
              <w:t>s</w:t>
            </w:r>
            <w:r>
              <w:rPr>
                <w:sz w:val="20"/>
                <w:lang w:val="en-AU" w:bidi="ar-SA"/>
              </w:rPr>
              <w:t>afety, technical and health effects assessment</w:t>
            </w:r>
            <w:r w:rsidR="005A7BCB">
              <w:rPr>
                <w:sz w:val="20"/>
                <w:lang w:val="en-AU" w:bidi="ar-SA"/>
              </w:rPr>
              <w:t xml:space="preserve"> examined</w:t>
            </w:r>
            <w:r>
              <w:rPr>
                <w:sz w:val="20"/>
                <w:lang w:val="en-AU" w:bidi="ar-SA"/>
              </w:rPr>
              <w:t xml:space="preserve"> the natural occurrence of 2</w:t>
            </w:r>
            <w:r w:rsidR="005D4C6E">
              <w:rPr>
                <w:sz w:val="20"/>
                <w:lang w:val="en-AU" w:bidi="ar-SA"/>
              </w:rPr>
              <w:t>′</w:t>
            </w:r>
            <w:r>
              <w:rPr>
                <w:sz w:val="20"/>
                <w:lang w:val="en-AU" w:bidi="ar-SA"/>
              </w:rPr>
              <w:t>-FL and L</w:t>
            </w:r>
            <w:r w:rsidR="00DC5BCC">
              <w:rPr>
                <w:sz w:val="20"/>
                <w:lang w:val="en-AU" w:bidi="ar-SA"/>
              </w:rPr>
              <w:t>NnT in human milk</w:t>
            </w:r>
            <w:r w:rsidR="000F48C1">
              <w:rPr>
                <w:sz w:val="20"/>
                <w:lang w:val="en-AU" w:bidi="ar-SA"/>
              </w:rPr>
              <w:t xml:space="preserve"> (see SD1). </w:t>
            </w:r>
            <w:r w:rsidR="002B4735">
              <w:rPr>
                <w:sz w:val="20"/>
                <w:lang w:val="en-AU" w:bidi="ar-SA"/>
              </w:rPr>
              <w:t>The risk management considered</w:t>
            </w:r>
            <w:r w:rsidR="005A7BCB">
              <w:rPr>
                <w:sz w:val="20"/>
                <w:lang w:val="en-AU" w:bidi="ar-SA"/>
              </w:rPr>
              <w:t xml:space="preserve"> </w:t>
            </w:r>
            <w:r w:rsidR="002B4735">
              <w:rPr>
                <w:sz w:val="20"/>
                <w:lang w:val="en-AU" w:bidi="ar-SA"/>
              </w:rPr>
              <w:t xml:space="preserve">this </w:t>
            </w:r>
            <w:r w:rsidR="005A7BCB">
              <w:rPr>
                <w:sz w:val="20"/>
                <w:lang w:val="en-AU" w:bidi="ar-SA"/>
              </w:rPr>
              <w:t>natural occurrence in developing the proposed regulatory measures</w:t>
            </w:r>
            <w:r w:rsidR="000F48C1">
              <w:rPr>
                <w:sz w:val="20"/>
                <w:lang w:val="en-AU" w:bidi="ar-SA"/>
              </w:rPr>
              <w:t xml:space="preserve">, noting that </w:t>
            </w:r>
            <w:r w:rsidR="00067DEF">
              <w:rPr>
                <w:sz w:val="20"/>
                <w:lang w:val="en-AU" w:bidi="ar-SA"/>
              </w:rPr>
              <w:t xml:space="preserve">the maximum levels proposed by FSANZ are </w:t>
            </w:r>
            <w:r w:rsidR="00077870">
              <w:rPr>
                <w:sz w:val="20"/>
                <w:lang w:val="en-AU" w:bidi="ar-SA"/>
              </w:rPr>
              <w:t>within</w:t>
            </w:r>
            <w:r w:rsidR="00067DEF">
              <w:rPr>
                <w:sz w:val="20"/>
                <w:lang w:val="en-AU" w:bidi="ar-SA"/>
              </w:rPr>
              <w:t xml:space="preserve"> the range</w:t>
            </w:r>
            <w:r w:rsidR="00C643C5">
              <w:rPr>
                <w:sz w:val="20"/>
                <w:lang w:val="en-AU" w:bidi="ar-SA"/>
              </w:rPr>
              <w:t xml:space="preserve"> </w:t>
            </w:r>
            <w:r w:rsidR="00067DEF">
              <w:rPr>
                <w:sz w:val="20"/>
                <w:lang w:val="en-AU" w:bidi="ar-SA"/>
              </w:rPr>
              <w:t xml:space="preserve">of concentrations </w:t>
            </w:r>
            <w:r w:rsidR="000F48C1">
              <w:rPr>
                <w:sz w:val="20"/>
                <w:lang w:val="en-AU" w:bidi="ar-SA"/>
              </w:rPr>
              <w:t xml:space="preserve">present in </w:t>
            </w:r>
            <w:r w:rsidR="00BC04A8">
              <w:rPr>
                <w:sz w:val="20"/>
                <w:lang w:val="en-AU" w:bidi="ar-SA"/>
              </w:rPr>
              <w:t xml:space="preserve">mature </w:t>
            </w:r>
            <w:r w:rsidR="000F48C1">
              <w:rPr>
                <w:sz w:val="20"/>
                <w:lang w:val="en-AU" w:bidi="ar-SA"/>
              </w:rPr>
              <w:t xml:space="preserve">human milk </w:t>
            </w:r>
            <w:r w:rsidR="005A7BCB">
              <w:rPr>
                <w:sz w:val="20"/>
                <w:lang w:val="en-AU" w:bidi="ar-SA"/>
              </w:rPr>
              <w:t>(see section 2.</w:t>
            </w:r>
            <w:r w:rsidR="000F48C1">
              <w:rPr>
                <w:sz w:val="20"/>
                <w:lang w:val="en-AU" w:bidi="ar-SA"/>
              </w:rPr>
              <w:t>3</w:t>
            </w:r>
            <w:r w:rsidR="00070EF0">
              <w:rPr>
                <w:sz w:val="20"/>
                <w:lang w:val="en-AU" w:bidi="ar-SA"/>
              </w:rPr>
              <w:t>.3</w:t>
            </w:r>
            <w:r w:rsidR="005A7BCB">
              <w:rPr>
                <w:sz w:val="20"/>
                <w:lang w:val="en-AU" w:bidi="ar-SA"/>
              </w:rPr>
              <w:t xml:space="preserve"> of the </w:t>
            </w:r>
            <w:r w:rsidR="000F48C1">
              <w:rPr>
                <w:sz w:val="20"/>
                <w:lang w:val="en-AU" w:bidi="ar-SA"/>
              </w:rPr>
              <w:t>2nd</w:t>
            </w:r>
            <w:r w:rsidR="005A7BCB">
              <w:rPr>
                <w:sz w:val="20"/>
                <w:lang w:val="en-AU" w:bidi="ar-SA"/>
              </w:rPr>
              <w:t xml:space="preserve"> CFS report, and </w:t>
            </w:r>
            <w:r w:rsidR="000F48C1">
              <w:rPr>
                <w:sz w:val="20"/>
                <w:lang w:val="en-AU" w:bidi="ar-SA"/>
              </w:rPr>
              <w:t xml:space="preserve">further </w:t>
            </w:r>
            <w:r w:rsidR="003B3E6B">
              <w:rPr>
                <w:sz w:val="20"/>
                <w:lang w:val="en-AU" w:bidi="ar-SA"/>
              </w:rPr>
              <w:t>comments to</w:t>
            </w:r>
            <w:r w:rsidR="005A7BCB">
              <w:rPr>
                <w:sz w:val="20"/>
                <w:lang w:val="en-AU" w:bidi="ar-SA"/>
              </w:rPr>
              <w:t xml:space="preserve"> specific policy principle (j) below)</w:t>
            </w:r>
            <w:r>
              <w:rPr>
                <w:sz w:val="20"/>
                <w:lang w:val="en-AU" w:bidi="ar-SA"/>
              </w:rPr>
              <w:t>.</w:t>
            </w:r>
          </w:p>
          <w:p w14:paraId="79E8D359" w14:textId="2D9968CE" w:rsidR="00D675AA" w:rsidRPr="002B4735" w:rsidRDefault="0038725F" w:rsidP="003001A8">
            <w:pPr>
              <w:spacing w:after="120"/>
              <w:rPr>
                <w:sz w:val="20"/>
                <w:lang w:val="en-AU" w:bidi="ar-SA"/>
              </w:rPr>
            </w:pPr>
            <w:r>
              <w:rPr>
                <w:rFonts w:cs="Arial"/>
                <w:sz w:val="20"/>
                <w:lang w:val="en-AU"/>
              </w:rPr>
              <w:t xml:space="preserve">FSANZ also notes </w:t>
            </w:r>
            <w:r w:rsidR="00D675AA">
              <w:rPr>
                <w:rFonts w:cs="Arial"/>
                <w:sz w:val="20"/>
                <w:lang w:val="en-AU"/>
              </w:rPr>
              <w:t>that approval of 2′-FL and LNnT would provide alternative options to galacto-oligosaccharides (GOS) and inulin-type fructans (ITF) currently permitted at higher levels</w:t>
            </w:r>
            <w:r w:rsidR="00923E43">
              <w:rPr>
                <w:rFonts w:cs="Arial"/>
                <w:sz w:val="20"/>
                <w:lang w:val="en-AU"/>
              </w:rPr>
              <w:t xml:space="preserve"> for use</w:t>
            </w:r>
            <w:r w:rsidR="00D675AA">
              <w:rPr>
                <w:rFonts w:cs="Arial"/>
                <w:sz w:val="20"/>
                <w:lang w:val="en-AU"/>
              </w:rPr>
              <w:t xml:space="preserve"> in infant formula products. These latter substances are not present, or only present in trace amounts, in human milk</w:t>
            </w:r>
            <w:r w:rsidR="00923E43">
              <w:rPr>
                <w:rFonts w:cs="Arial"/>
                <w:sz w:val="20"/>
                <w:lang w:val="en-AU"/>
              </w:rPr>
              <w:t xml:space="preserve"> – the p</w:t>
            </w:r>
            <w:r w:rsidR="00F522B2">
              <w:rPr>
                <w:rFonts w:cs="Arial"/>
                <w:sz w:val="20"/>
                <w:lang w:val="en-AU"/>
              </w:rPr>
              <w:t>roposed permission allows alter</w:t>
            </w:r>
            <w:r w:rsidR="00923E43">
              <w:rPr>
                <w:rFonts w:cs="Arial"/>
                <w:sz w:val="20"/>
                <w:lang w:val="en-AU"/>
              </w:rPr>
              <w:t>n</w:t>
            </w:r>
            <w:r w:rsidR="00F522B2">
              <w:rPr>
                <w:rFonts w:cs="Arial"/>
                <w:sz w:val="20"/>
                <w:lang w:val="en-AU"/>
              </w:rPr>
              <w:t>a</w:t>
            </w:r>
            <w:r w:rsidR="00923E43">
              <w:rPr>
                <w:rFonts w:cs="Arial"/>
                <w:sz w:val="20"/>
                <w:lang w:val="en-AU"/>
              </w:rPr>
              <w:t xml:space="preserve">tive substances which are </w:t>
            </w:r>
            <w:r w:rsidR="00C30E56">
              <w:rPr>
                <w:rFonts w:cs="Arial"/>
                <w:sz w:val="20"/>
                <w:lang w:val="en-AU"/>
              </w:rPr>
              <w:t xml:space="preserve">also </w:t>
            </w:r>
            <w:r w:rsidR="00D20EFA">
              <w:rPr>
                <w:rFonts w:cs="Arial"/>
                <w:sz w:val="20"/>
                <w:lang w:val="en-AU"/>
              </w:rPr>
              <w:t xml:space="preserve">naturally </w:t>
            </w:r>
            <w:r w:rsidR="00923E43">
              <w:rPr>
                <w:rFonts w:cs="Arial"/>
                <w:sz w:val="20"/>
                <w:lang w:val="en-AU"/>
              </w:rPr>
              <w:t>present in human milk</w:t>
            </w:r>
            <w:r w:rsidR="00D675AA">
              <w:rPr>
                <w:rFonts w:cs="Arial"/>
                <w:sz w:val="20"/>
                <w:lang w:val="en-AU"/>
              </w:rPr>
              <w:t>.</w:t>
            </w:r>
          </w:p>
        </w:tc>
      </w:tr>
      <w:tr w:rsidR="00A82D70" w:rsidRPr="00932F72" w14:paraId="3D6E5168" w14:textId="77777777" w:rsidTr="00A269D0">
        <w:tc>
          <w:tcPr>
            <w:tcW w:w="2499" w:type="pct"/>
          </w:tcPr>
          <w:p w14:paraId="42C7FDD9" w14:textId="767A856E" w:rsidR="00A82D70" w:rsidRPr="00F86EEB" w:rsidRDefault="00A82D70" w:rsidP="008D08E0">
            <w:pPr>
              <w:rPr>
                <w:rFonts w:cs="Arial"/>
                <w:sz w:val="20"/>
                <w:lang w:val="en-AU"/>
              </w:rPr>
            </w:pPr>
            <w:r w:rsidRPr="00F86EEB">
              <w:rPr>
                <w:rFonts w:cs="Arial"/>
                <w:sz w:val="20"/>
                <w:lang w:val="en-AU"/>
              </w:rPr>
              <w:t>(i) Pre-market assessment, relative to principles (d) and (e), should be required for any substance proposed to be used in infant formula and follow-on formula that:</w:t>
            </w:r>
          </w:p>
          <w:p w14:paraId="0D623385" w14:textId="77777777" w:rsidR="00A82D70" w:rsidRPr="00F86EEB" w:rsidRDefault="00A82D70" w:rsidP="008D08E0">
            <w:pPr>
              <w:ind w:left="284"/>
              <w:rPr>
                <w:rFonts w:cs="Arial"/>
                <w:sz w:val="20"/>
                <w:lang w:val="en-AU"/>
              </w:rPr>
            </w:pPr>
            <w:r w:rsidRPr="00F86EEB">
              <w:rPr>
                <w:rFonts w:cs="Arial"/>
                <w:sz w:val="20"/>
                <w:lang w:val="en-AU"/>
              </w:rPr>
              <w:t>i. does not have a history of safe use at the proposed level in these products in Australia and New Zealand; or</w:t>
            </w:r>
          </w:p>
          <w:p w14:paraId="0B5F25F3" w14:textId="77777777" w:rsidR="00A82D70" w:rsidRPr="00F86EEB" w:rsidRDefault="00A82D70" w:rsidP="008D08E0">
            <w:pPr>
              <w:ind w:left="284"/>
              <w:rPr>
                <w:rFonts w:cs="Arial"/>
                <w:sz w:val="20"/>
                <w:lang w:val="en-AU"/>
              </w:rPr>
            </w:pPr>
            <w:r w:rsidRPr="00F86EEB">
              <w:rPr>
                <w:rFonts w:cs="Arial"/>
                <w:sz w:val="20"/>
                <w:lang w:val="en-AU"/>
              </w:rPr>
              <w:t xml:space="preserve">ii. has a history of safe use in these products in Australia and New Zealand, but which, having regard to source, has a different </w:t>
            </w:r>
            <w:r w:rsidRPr="00F86EEB">
              <w:rPr>
                <w:rFonts w:cs="Arial"/>
                <w:sz w:val="20"/>
                <w:lang w:val="en-AU"/>
              </w:rPr>
              <w:lastRenderedPageBreak/>
              <w:t>form/structure, or is produced using a substantially different technique or technology.</w:t>
            </w:r>
          </w:p>
        </w:tc>
        <w:tc>
          <w:tcPr>
            <w:tcW w:w="2501" w:type="pct"/>
          </w:tcPr>
          <w:p w14:paraId="0CAABB6B" w14:textId="137C0C2D" w:rsidR="00A82D70" w:rsidRPr="00F86EEB" w:rsidRDefault="00300023" w:rsidP="00C30E56">
            <w:pPr>
              <w:spacing w:after="120"/>
              <w:rPr>
                <w:rFonts w:cs="Arial"/>
                <w:sz w:val="20"/>
                <w:lang w:val="en-AU"/>
              </w:rPr>
            </w:pPr>
            <w:r>
              <w:rPr>
                <w:rFonts w:cs="Arial"/>
                <w:sz w:val="20"/>
                <w:lang w:val="en-AU"/>
              </w:rPr>
              <w:lastRenderedPageBreak/>
              <w:t xml:space="preserve">As </w:t>
            </w:r>
            <w:r w:rsidR="00A82D70" w:rsidRPr="009F4182">
              <w:rPr>
                <w:rFonts w:cs="Arial"/>
                <w:sz w:val="20"/>
                <w:lang w:val="en-AU"/>
              </w:rPr>
              <w:t>2</w:t>
            </w:r>
            <w:r w:rsidR="005D4C6E">
              <w:rPr>
                <w:rFonts w:cs="Arial"/>
                <w:sz w:val="20"/>
                <w:lang w:val="en-AU"/>
              </w:rPr>
              <w:t>′</w:t>
            </w:r>
            <w:r w:rsidR="00A82D70" w:rsidRPr="009F4182">
              <w:rPr>
                <w:rFonts w:cs="Arial"/>
                <w:sz w:val="20"/>
                <w:lang w:val="en-AU"/>
              </w:rPr>
              <w:t xml:space="preserve">-FL and LNnT are naturally occurring in </w:t>
            </w:r>
            <w:r w:rsidR="00785246">
              <w:rPr>
                <w:rFonts w:cs="Arial"/>
                <w:sz w:val="20"/>
                <w:lang w:val="en-AU"/>
              </w:rPr>
              <w:t>human</w:t>
            </w:r>
            <w:r w:rsidR="00A82D70" w:rsidRPr="009F4182">
              <w:rPr>
                <w:rFonts w:cs="Arial"/>
                <w:sz w:val="20"/>
                <w:lang w:val="en-AU"/>
              </w:rPr>
              <w:t xml:space="preserve"> milk</w:t>
            </w:r>
            <w:r w:rsidR="00BC04A8">
              <w:rPr>
                <w:rFonts w:cs="Arial"/>
                <w:sz w:val="20"/>
                <w:lang w:val="en-AU"/>
              </w:rPr>
              <w:t>, and the levels proposed are within the range found in human milk</w:t>
            </w:r>
            <w:r>
              <w:rPr>
                <w:rFonts w:cs="Arial"/>
                <w:sz w:val="20"/>
                <w:lang w:val="en-AU"/>
              </w:rPr>
              <w:t xml:space="preserve">, there is a history of safe </w:t>
            </w:r>
            <w:r w:rsidR="00C30E56">
              <w:rPr>
                <w:rFonts w:cs="Arial"/>
                <w:sz w:val="20"/>
                <w:lang w:val="en-AU"/>
              </w:rPr>
              <w:t>intakes</w:t>
            </w:r>
            <w:r>
              <w:rPr>
                <w:rFonts w:cs="Arial"/>
                <w:sz w:val="20"/>
                <w:lang w:val="en-AU"/>
              </w:rPr>
              <w:t xml:space="preserve"> for breastfed infants</w:t>
            </w:r>
            <w:r w:rsidR="008D408D">
              <w:rPr>
                <w:rFonts w:cs="Arial"/>
                <w:sz w:val="20"/>
                <w:lang w:val="en-AU"/>
              </w:rPr>
              <w:t>.</w:t>
            </w:r>
            <w:r w:rsidR="00893078">
              <w:rPr>
                <w:rFonts w:cs="Arial"/>
                <w:sz w:val="20"/>
                <w:lang w:val="en-AU"/>
              </w:rPr>
              <w:t xml:space="preserve"> </w:t>
            </w:r>
            <w:r w:rsidR="00A543B2">
              <w:rPr>
                <w:rFonts w:cs="Arial"/>
                <w:sz w:val="20"/>
                <w:lang w:val="en-AU"/>
              </w:rPr>
              <w:t xml:space="preserve">However, </w:t>
            </w:r>
            <w:r w:rsidR="008D408D">
              <w:rPr>
                <w:rFonts w:cs="Arial"/>
                <w:sz w:val="20"/>
                <w:lang w:val="en-AU"/>
              </w:rPr>
              <w:t>noting</w:t>
            </w:r>
            <w:r w:rsidR="00A543B2">
              <w:rPr>
                <w:rFonts w:cs="Arial"/>
                <w:sz w:val="20"/>
                <w:lang w:val="en-AU"/>
              </w:rPr>
              <w:t xml:space="preserve"> </w:t>
            </w:r>
            <w:r w:rsidR="00BE1C93">
              <w:rPr>
                <w:rFonts w:cs="Arial"/>
                <w:sz w:val="20"/>
                <w:lang w:val="en-AU"/>
              </w:rPr>
              <w:t xml:space="preserve">the application is for </w:t>
            </w:r>
            <w:r w:rsidR="00BE1C93" w:rsidRPr="009F4182">
              <w:rPr>
                <w:rFonts w:cs="Arial"/>
                <w:sz w:val="20"/>
                <w:lang w:val="en-AU"/>
              </w:rPr>
              <w:t>2</w:t>
            </w:r>
            <w:r w:rsidR="00BE1C93">
              <w:rPr>
                <w:rFonts w:cs="Arial"/>
                <w:sz w:val="20"/>
                <w:lang w:val="en-AU"/>
              </w:rPr>
              <w:t>′</w:t>
            </w:r>
            <w:r w:rsidR="00BE1C93" w:rsidRPr="009F4182">
              <w:rPr>
                <w:rFonts w:cs="Arial"/>
                <w:sz w:val="20"/>
                <w:lang w:val="en-AU"/>
              </w:rPr>
              <w:t>-FL and LNnT</w:t>
            </w:r>
            <w:r w:rsidR="00A82D70" w:rsidRPr="009F4182">
              <w:rPr>
                <w:rFonts w:cs="Arial"/>
                <w:sz w:val="20"/>
                <w:lang w:val="en-AU"/>
              </w:rPr>
              <w:t xml:space="preserve"> produced by microbial fermentation</w:t>
            </w:r>
            <w:r w:rsidR="00F6276F">
              <w:rPr>
                <w:rFonts w:cs="Arial"/>
                <w:sz w:val="20"/>
                <w:lang w:val="en-AU"/>
              </w:rPr>
              <w:t xml:space="preserve"> for use in infant formula products</w:t>
            </w:r>
            <w:r w:rsidR="008D408D">
              <w:rPr>
                <w:rFonts w:cs="Arial"/>
                <w:sz w:val="20"/>
                <w:lang w:val="en-AU"/>
              </w:rPr>
              <w:t>,</w:t>
            </w:r>
            <w:r w:rsidR="00A82D70" w:rsidRPr="009F4182">
              <w:rPr>
                <w:rFonts w:cs="Arial"/>
                <w:sz w:val="20"/>
                <w:lang w:val="en-AU"/>
              </w:rPr>
              <w:t xml:space="preserve"> a pre-market assessment </w:t>
            </w:r>
            <w:r w:rsidR="008D408D">
              <w:rPr>
                <w:rFonts w:cs="Arial"/>
                <w:sz w:val="20"/>
                <w:lang w:val="en-AU"/>
              </w:rPr>
              <w:t>has been</w:t>
            </w:r>
            <w:r w:rsidR="008D408D" w:rsidRPr="009F4182">
              <w:rPr>
                <w:rFonts w:cs="Arial"/>
                <w:sz w:val="20"/>
                <w:lang w:val="en-AU"/>
              </w:rPr>
              <w:t xml:space="preserve"> </w:t>
            </w:r>
            <w:r w:rsidR="00A82D70" w:rsidRPr="009F4182">
              <w:rPr>
                <w:rFonts w:cs="Arial"/>
                <w:sz w:val="20"/>
                <w:lang w:val="en-AU"/>
              </w:rPr>
              <w:t xml:space="preserve">undertaken. </w:t>
            </w:r>
          </w:p>
        </w:tc>
      </w:tr>
      <w:tr w:rsidR="00A82D70" w:rsidRPr="00932F72" w14:paraId="75266DBA" w14:textId="77777777" w:rsidTr="00A269D0">
        <w:tc>
          <w:tcPr>
            <w:tcW w:w="2499" w:type="pct"/>
          </w:tcPr>
          <w:p w14:paraId="4C35DE7E" w14:textId="7E5B3978" w:rsidR="00A82D70" w:rsidRPr="00F86EEB" w:rsidRDefault="00A82D70" w:rsidP="008D08E0">
            <w:pPr>
              <w:rPr>
                <w:rFonts w:cs="Arial"/>
                <w:sz w:val="20"/>
                <w:lang w:val="en-AU"/>
              </w:rPr>
            </w:pPr>
            <w:r w:rsidRPr="00F86EEB">
              <w:rPr>
                <w:rFonts w:cs="Arial"/>
                <w:sz w:val="20"/>
                <w:lang w:val="en-AU"/>
              </w:rPr>
              <w:t>(j) Substances subject to pre-market assessment for use in infant formula and follow-on formula should have a substantiated beneficial role in the normal growth and development of infants or children, or a technological role, taking into account, where relevant, the levels of comparable substances in breast milk. A substance’s role in normal growth and development is substantiated where there is appropriate evidence to link the physiological, biochemical and/or functional effects of the substance to specific health outcomes for infants, in infancy or childhood. Particular caution should be applied by the Authority where such links are less clear.</w:t>
            </w:r>
          </w:p>
        </w:tc>
        <w:tc>
          <w:tcPr>
            <w:tcW w:w="2501" w:type="pct"/>
          </w:tcPr>
          <w:p w14:paraId="099EEAE7" w14:textId="6281D564" w:rsidR="00F6276F" w:rsidRDefault="00F6276F" w:rsidP="003001A8">
            <w:pPr>
              <w:spacing w:after="120"/>
              <w:rPr>
                <w:rFonts w:cs="Arial"/>
                <w:sz w:val="20"/>
                <w:lang w:val="en-AU"/>
              </w:rPr>
            </w:pPr>
            <w:r>
              <w:rPr>
                <w:sz w:val="20"/>
                <w:szCs w:val="20"/>
                <w:lang w:val="en-AU" w:bidi="ar-SA"/>
              </w:rPr>
              <w:t xml:space="preserve">FSANZ has concluded that the addition of </w:t>
            </w:r>
            <w:r w:rsidRPr="009F4182">
              <w:rPr>
                <w:rFonts w:cs="Arial"/>
                <w:sz w:val="20"/>
                <w:lang w:val="en-AU"/>
              </w:rPr>
              <w:t>2</w:t>
            </w:r>
            <w:r>
              <w:rPr>
                <w:rFonts w:cs="Arial"/>
                <w:sz w:val="20"/>
                <w:lang w:val="en-AU"/>
              </w:rPr>
              <w:t>′</w:t>
            </w:r>
            <w:r w:rsidRPr="009F4182">
              <w:rPr>
                <w:rFonts w:cs="Arial"/>
                <w:sz w:val="20"/>
                <w:lang w:val="en-AU"/>
              </w:rPr>
              <w:t xml:space="preserve">-FL </w:t>
            </w:r>
            <w:r>
              <w:rPr>
                <w:rFonts w:cs="Arial"/>
                <w:sz w:val="20"/>
                <w:lang w:val="en-AU"/>
              </w:rPr>
              <w:t>alone or combined with</w:t>
            </w:r>
            <w:r w:rsidRPr="009F4182">
              <w:rPr>
                <w:rFonts w:cs="Arial"/>
                <w:sz w:val="20"/>
                <w:lang w:val="en-AU"/>
              </w:rPr>
              <w:t xml:space="preserve"> LNnT </w:t>
            </w:r>
            <w:r>
              <w:rPr>
                <w:rFonts w:cs="Arial"/>
                <w:sz w:val="20"/>
                <w:lang w:val="en-AU"/>
              </w:rPr>
              <w:t>is supported by appropriate evidence</w:t>
            </w:r>
            <w:r w:rsidR="00485929">
              <w:rPr>
                <w:rFonts w:cs="Arial"/>
                <w:sz w:val="20"/>
                <w:lang w:val="en-AU"/>
              </w:rPr>
              <w:t>,</w:t>
            </w:r>
            <w:r>
              <w:rPr>
                <w:rFonts w:cs="Arial"/>
                <w:sz w:val="20"/>
                <w:lang w:val="en-AU"/>
              </w:rPr>
              <w:t xml:space="preserve"> for the purpose of voluntary compositional permission</w:t>
            </w:r>
            <w:r w:rsidR="00485929">
              <w:rPr>
                <w:rFonts w:cs="Arial"/>
                <w:sz w:val="20"/>
                <w:lang w:val="en-AU"/>
              </w:rPr>
              <w:t>,</w:t>
            </w:r>
            <w:r>
              <w:rPr>
                <w:rFonts w:cs="Arial"/>
                <w:sz w:val="20"/>
                <w:lang w:val="en-AU"/>
              </w:rPr>
              <w:t xml:space="preserve"> in providing </w:t>
            </w:r>
            <w:r w:rsidR="0087524E">
              <w:rPr>
                <w:rFonts w:cs="Arial"/>
                <w:sz w:val="20"/>
                <w:lang w:val="en-AU"/>
              </w:rPr>
              <w:t xml:space="preserve">potential </w:t>
            </w:r>
            <w:r>
              <w:rPr>
                <w:rFonts w:cs="Arial"/>
                <w:sz w:val="20"/>
                <w:lang w:val="en-AU"/>
              </w:rPr>
              <w:t>beneficial health outcomes in in</w:t>
            </w:r>
            <w:r w:rsidR="00664823">
              <w:rPr>
                <w:rFonts w:cs="Arial"/>
                <w:sz w:val="20"/>
                <w:lang w:val="en-AU"/>
              </w:rPr>
              <w:t>fants</w:t>
            </w:r>
            <w:r>
              <w:rPr>
                <w:rFonts w:cs="Arial"/>
                <w:sz w:val="20"/>
                <w:lang w:val="en-AU"/>
              </w:rPr>
              <w:t xml:space="preserve">.  </w:t>
            </w:r>
          </w:p>
          <w:p w14:paraId="6865F250" w14:textId="2266DAD0" w:rsidR="00DF789D" w:rsidRDefault="00364589" w:rsidP="003001A8">
            <w:pPr>
              <w:spacing w:after="120"/>
              <w:rPr>
                <w:sz w:val="20"/>
                <w:szCs w:val="20"/>
                <w:lang w:val="en-AU" w:bidi="ar-SA"/>
              </w:rPr>
            </w:pPr>
            <w:r>
              <w:rPr>
                <w:sz w:val="20"/>
                <w:szCs w:val="20"/>
                <w:lang w:val="en-AU" w:bidi="ar-SA"/>
              </w:rPr>
              <w:t>Based on the available evidence</w:t>
            </w:r>
            <w:r w:rsidR="00AD69E1">
              <w:rPr>
                <w:sz w:val="20"/>
                <w:szCs w:val="20"/>
                <w:lang w:val="en-AU" w:bidi="ar-SA"/>
              </w:rPr>
              <w:t xml:space="preserve"> and taking account of the comparable levels and wide range of ratios of 2</w:t>
            </w:r>
            <w:r w:rsidR="005D4C6E">
              <w:rPr>
                <w:sz w:val="20"/>
                <w:szCs w:val="20"/>
                <w:lang w:val="en-AU" w:bidi="ar-SA"/>
              </w:rPr>
              <w:t>′</w:t>
            </w:r>
            <w:r w:rsidR="00AD69E1">
              <w:rPr>
                <w:sz w:val="20"/>
                <w:szCs w:val="20"/>
                <w:lang w:val="en-AU" w:bidi="ar-SA"/>
              </w:rPr>
              <w:t xml:space="preserve">-FL </w:t>
            </w:r>
            <w:r w:rsidR="00EE4E86">
              <w:rPr>
                <w:sz w:val="20"/>
                <w:szCs w:val="20"/>
                <w:lang w:val="en-AU" w:bidi="ar-SA"/>
              </w:rPr>
              <w:t>and LNnT</w:t>
            </w:r>
            <w:r w:rsidR="00AD69E1">
              <w:rPr>
                <w:sz w:val="20"/>
                <w:szCs w:val="20"/>
                <w:lang w:val="en-AU" w:bidi="ar-SA"/>
              </w:rPr>
              <w:t xml:space="preserve"> in mature human milk</w:t>
            </w:r>
            <w:r>
              <w:rPr>
                <w:sz w:val="20"/>
                <w:szCs w:val="20"/>
                <w:lang w:val="en-AU" w:bidi="ar-SA"/>
              </w:rPr>
              <w:t xml:space="preserve">, FSANZ </w:t>
            </w:r>
            <w:r w:rsidR="00C760A1">
              <w:rPr>
                <w:sz w:val="20"/>
                <w:szCs w:val="20"/>
                <w:lang w:val="en-AU" w:bidi="ar-SA"/>
              </w:rPr>
              <w:t>propose</w:t>
            </w:r>
            <w:r w:rsidR="00E13CBA">
              <w:rPr>
                <w:sz w:val="20"/>
                <w:szCs w:val="20"/>
                <w:lang w:val="en-AU" w:bidi="ar-SA"/>
              </w:rPr>
              <w:t>s</w:t>
            </w:r>
            <w:r w:rsidRPr="00364589">
              <w:rPr>
                <w:sz w:val="20"/>
                <w:szCs w:val="20"/>
                <w:lang w:val="en-AU" w:bidi="ar-SA"/>
              </w:rPr>
              <w:t xml:space="preserve"> </w:t>
            </w:r>
            <w:r w:rsidR="00AD69E1">
              <w:rPr>
                <w:sz w:val="20"/>
                <w:szCs w:val="20"/>
                <w:lang w:val="en-AU" w:bidi="ar-SA"/>
              </w:rPr>
              <w:t>a higher level of 2</w:t>
            </w:r>
            <w:r w:rsidR="005D4C6E">
              <w:rPr>
                <w:sz w:val="20"/>
                <w:szCs w:val="20"/>
                <w:lang w:val="en-AU" w:bidi="ar-SA"/>
              </w:rPr>
              <w:t>′</w:t>
            </w:r>
            <w:r w:rsidR="00AD69E1">
              <w:rPr>
                <w:sz w:val="20"/>
                <w:szCs w:val="20"/>
                <w:lang w:val="en-AU" w:bidi="ar-SA"/>
              </w:rPr>
              <w:t xml:space="preserve">-FL than requested (i.e. 2.4 g/L </w:t>
            </w:r>
            <w:r w:rsidR="00A269D0">
              <w:rPr>
                <w:sz w:val="20"/>
                <w:szCs w:val="20"/>
                <w:lang w:val="en-AU" w:bidi="ar-SA"/>
              </w:rPr>
              <w:t xml:space="preserve">alone </w:t>
            </w:r>
            <w:r w:rsidR="00AD69E1">
              <w:rPr>
                <w:sz w:val="20"/>
                <w:szCs w:val="20"/>
                <w:lang w:val="en-AU" w:bidi="ar-SA"/>
              </w:rPr>
              <w:t>rather than 1.2 g/L</w:t>
            </w:r>
            <w:r w:rsidR="00C30E56">
              <w:rPr>
                <w:sz w:val="20"/>
                <w:szCs w:val="20"/>
                <w:lang w:val="en-AU" w:bidi="ar-SA"/>
              </w:rPr>
              <w:t>;</w:t>
            </w:r>
            <w:r w:rsidR="00A269D0">
              <w:rPr>
                <w:sz w:val="20"/>
                <w:szCs w:val="20"/>
                <w:lang w:val="en-AU" w:bidi="ar-SA"/>
              </w:rPr>
              <w:t xml:space="preserve"> and 2.4 g/L combined rather than 1.8 g/L</w:t>
            </w:r>
            <w:r w:rsidR="00AD69E1">
              <w:rPr>
                <w:sz w:val="20"/>
                <w:szCs w:val="20"/>
                <w:lang w:val="en-AU" w:bidi="ar-SA"/>
              </w:rPr>
              <w:t>)</w:t>
            </w:r>
            <w:r w:rsidR="00B03490">
              <w:rPr>
                <w:sz w:val="20"/>
                <w:szCs w:val="20"/>
                <w:lang w:val="en-AU" w:bidi="ar-SA"/>
              </w:rPr>
              <w:t>.</w:t>
            </w:r>
            <w:r w:rsidR="00EE4E86">
              <w:rPr>
                <w:sz w:val="20"/>
                <w:szCs w:val="20"/>
                <w:lang w:val="en-AU" w:bidi="ar-SA"/>
              </w:rPr>
              <w:t xml:space="preserve"> </w:t>
            </w:r>
          </w:p>
          <w:p w14:paraId="29217997" w14:textId="1AE4CD6A" w:rsidR="00BC04A8" w:rsidRDefault="00AD69E1" w:rsidP="003001A8">
            <w:pPr>
              <w:spacing w:after="120"/>
              <w:rPr>
                <w:sz w:val="20"/>
                <w:szCs w:val="20"/>
                <w:lang w:val="en-AU" w:bidi="ar-SA"/>
              </w:rPr>
            </w:pPr>
            <w:r>
              <w:rPr>
                <w:sz w:val="20"/>
                <w:szCs w:val="20"/>
                <w:lang w:val="en-AU" w:bidi="ar-SA"/>
              </w:rPr>
              <w:t>FSANZ has applied caution in its assessment</w:t>
            </w:r>
            <w:r w:rsidR="00E13CBA">
              <w:rPr>
                <w:sz w:val="20"/>
                <w:szCs w:val="20"/>
                <w:lang w:val="en-AU" w:bidi="ar-SA"/>
              </w:rPr>
              <w:t>,</w:t>
            </w:r>
            <w:r>
              <w:rPr>
                <w:sz w:val="20"/>
                <w:szCs w:val="20"/>
                <w:lang w:val="en-AU" w:bidi="ar-SA"/>
              </w:rPr>
              <w:t xml:space="preserve"> </w:t>
            </w:r>
            <w:r w:rsidR="00C760A1">
              <w:rPr>
                <w:sz w:val="20"/>
                <w:szCs w:val="20"/>
                <w:lang w:val="en-AU" w:bidi="ar-SA"/>
              </w:rPr>
              <w:t>as referred to in t</w:t>
            </w:r>
            <w:r w:rsidR="00E13CBA">
              <w:rPr>
                <w:sz w:val="20"/>
                <w:szCs w:val="20"/>
                <w:lang w:val="en-AU" w:bidi="ar-SA"/>
              </w:rPr>
              <w:t xml:space="preserve">his </w:t>
            </w:r>
            <w:r w:rsidR="00C760A1">
              <w:rPr>
                <w:sz w:val="20"/>
                <w:szCs w:val="20"/>
                <w:lang w:val="en-AU" w:bidi="ar-SA"/>
              </w:rPr>
              <w:t xml:space="preserve">specific principle, </w:t>
            </w:r>
            <w:r w:rsidR="003D28B8">
              <w:rPr>
                <w:sz w:val="20"/>
                <w:szCs w:val="20"/>
                <w:lang w:val="en-AU" w:bidi="ar-SA"/>
              </w:rPr>
              <w:t>noting that</w:t>
            </w:r>
            <w:r w:rsidR="00BC04A8">
              <w:rPr>
                <w:sz w:val="20"/>
                <w:szCs w:val="20"/>
                <w:lang w:val="en-AU" w:bidi="ar-SA"/>
              </w:rPr>
              <w:t>:</w:t>
            </w:r>
          </w:p>
          <w:p w14:paraId="346DD5AD" w14:textId="266D21B9" w:rsidR="00BC04A8" w:rsidRDefault="00664823" w:rsidP="003001A8">
            <w:pPr>
              <w:pStyle w:val="ListParagraph"/>
              <w:numPr>
                <w:ilvl w:val="0"/>
                <w:numId w:val="15"/>
              </w:numPr>
              <w:spacing w:after="120"/>
              <w:rPr>
                <w:sz w:val="20"/>
                <w:szCs w:val="20"/>
                <w:lang w:val="en-AU"/>
              </w:rPr>
            </w:pPr>
            <w:r>
              <w:rPr>
                <w:sz w:val="20"/>
                <w:szCs w:val="20"/>
                <w:lang w:val="en-AU"/>
              </w:rPr>
              <w:t>T</w:t>
            </w:r>
            <w:r w:rsidR="00DF789D" w:rsidRPr="00BC04A8">
              <w:rPr>
                <w:sz w:val="20"/>
                <w:szCs w:val="20"/>
                <w:lang w:val="en-AU"/>
              </w:rPr>
              <w:t xml:space="preserve">he proposed </w:t>
            </w:r>
            <w:r w:rsidR="00C643C5">
              <w:rPr>
                <w:sz w:val="20"/>
                <w:szCs w:val="20"/>
                <w:lang w:val="en-AU"/>
              </w:rPr>
              <w:t xml:space="preserve">voluntary </w:t>
            </w:r>
            <w:r w:rsidR="00DF789D" w:rsidRPr="00BC04A8">
              <w:rPr>
                <w:sz w:val="20"/>
                <w:szCs w:val="20"/>
                <w:lang w:val="en-AU"/>
              </w:rPr>
              <w:t>addition is safe</w:t>
            </w:r>
            <w:r w:rsidR="00C643C5">
              <w:rPr>
                <w:sz w:val="20"/>
                <w:szCs w:val="20"/>
                <w:lang w:val="en-AU"/>
              </w:rPr>
              <w:t>.</w:t>
            </w:r>
            <w:r w:rsidR="00DF789D" w:rsidRPr="00BC04A8">
              <w:rPr>
                <w:sz w:val="20"/>
                <w:szCs w:val="20"/>
                <w:lang w:val="en-AU"/>
              </w:rPr>
              <w:t xml:space="preserve"> </w:t>
            </w:r>
          </w:p>
          <w:p w14:paraId="344DC781" w14:textId="25050686" w:rsidR="00067DEF" w:rsidRPr="00067DEF" w:rsidRDefault="00067DEF" w:rsidP="003001A8">
            <w:pPr>
              <w:pStyle w:val="ListParagraph"/>
              <w:numPr>
                <w:ilvl w:val="0"/>
                <w:numId w:val="15"/>
              </w:numPr>
              <w:spacing w:after="120"/>
              <w:rPr>
                <w:sz w:val="20"/>
                <w:szCs w:val="20"/>
                <w:lang w:val="en-AU"/>
              </w:rPr>
            </w:pPr>
            <w:r w:rsidRPr="009F4182">
              <w:rPr>
                <w:rFonts w:cs="Arial"/>
                <w:sz w:val="20"/>
                <w:lang w:val="en-AU"/>
              </w:rPr>
              <w:t>2</w:t>
            </w:r>
            <w:r>
              <w:rPr>
                <w:rFonts w:cs="Arial"/>
                <w:sz w:val="20"/>
                <w:lang w:val="en-AU"/>
              </w:rPr>
              <w:t>′</w:t>
            </w:r>
            <w:r w:rsidRPr="009F4182">
              <w:rPr>
                <w:rFonts w:cs="Arial"/>
                <w:sz w:val="20"/>
                <w:lang w:val="en-AU"/>
              </w:rPr>
              <w:t xml:space="preserve">-FL </w:t>
            </w:r>
            <w:r>
              <w:rPr>
                <w:rFonts w:cs="Arial"/>
                <w:sz w:val="20"/>
                <w:lang w:val="en-AU"/>
              </w:rPr>
              <w:t>and LNnT are natura</w:t>
            </w:r>
            <w:r w:rsidR="00C643C5">
              <w:rPr>
                <w:rFonts w:cs="Arial"/>
                <w:sz w:val="20"/>
                <w:lang w:val="en-AU"/>
              </w:rPr>
              <w:t>lly present in human milk at</w:t>
            </w:r>
            <w:r>
              <w:rPr>
                <w:rFonts w:cs="Arial"/>
                <w:sz w:val="20"/>
                <w:lang w:val="en-AU"/>
              </w:rPr>
              <w:t xml:space="preserve"> levels proposed (noting human milk is used as the primary reference as per specific principle (h)).</w:t>
            </w:r>
          </w:p>
          <w:p w14:paraId="0D7E09E6" w14:textId="5690D52A" w:rsidR="00364589" w:rsidRDefault="00067DEF" w:rsidP="003001A8">
            <w:pPr>
              <w:pStyle w:val="ListParagraph"/>
              <w:numPr>
                <w:ilvl w:val="0"/>
                <w:numId w:val="15"/>
              </w:numPr>
              <w:spacing w:after="120"/>
              <w:rPr>
                <w:sz w:val="20"/>
                <w:szCs w:val="20"/>
                <w:lang w:val="en-AU"/>
              </w:rPr>
            </w:pPr>
            <w:r>
              <w:rPr>
                <w:sz w:val="20"/>
                <w:szCs w:val="20"/>
                <w:lang w:val="en-AU"/>
              </w:rPr>
              <w:t>E</w:t>
            </w:r>
            <w:r w:rsidR="00AD69E1" w:rsidRPr="00BC04A8">
              <w:rPr>
                <w:sz w:val="20"/>
                <w:szCs w:val="20"/>
                <w:lang w:val="en-AU"/>
              </w:rPr>
              <w:t xml:space="preserve">vidence </w:t>
            </w:r>
            <w:r w:rsidR="003D28B8" w:rsidRPr="00BC04A8">
              <w:rPr>
                <w:sz w:val="20"/>
                <w:szCs w:val="20"/>
                <w:lang w:val="en-AU"/>
              </w:rPr>
              <w:t>demonstrated</w:t>
            </w:r>
            <w:r w:rsidR="00AD69E1" w:rsidRPr="00BC04A8">
              <w:rPr>
                <w:sz w:val="20"/>
                <w:szCs w:val="20"/>
                <w:lang w:val="en-AU"/>
              </w:rPr>
              <w:t xml:space="preserve"> </w:t>
            </w:r>
            <w:r w:rsidR="00D31D00">
              <w:rPr>
                <w:sz w:val="20"/>
                <w:szCs w:val="20"/>
                <w:lang w:val="en-AU"/>
              </w:rPr>
              <w:t>biological and mechanistic</w:t>
            </w:r>
            <w:r w:rsidR="00AD69E1" w:rsidRPr="00BC04A8">
              <w:rPr>
                <w:sz w:val="20"/>
                <w:szCs w:val="20"/>
                <w:lang w:val="en-AU"/>
              </w:rPr>
              <w:t xml:space="preserve"> </w:t>
            </w:r>
            <w:r w:rsidR="000A4E7E" w:rsidRPr="00BC04A8">
              <w:rPr>
                <w:sz w:val="20"/>
                <w:szCs w:val="20"/>
                <w:lang w:val="en-AU"/>
              </w:rPr>
              <w:t>plausib</w:t>
            </w:r>
            <w:r w:rsidR="00D31D00">
              <w:rPr>
                <w:sz w:val="20"/>
                <w:szCs w:val="20"/>
                <w:lang w:val="en-AU"/>
              </w:rPr>
              <w:t>ility of the</w:t>
            </w:r>
            <w:r w:rsidR="000A4E7E" w:rsidRPr="00BC04A8">
              <w:rPr>
                <w:sz w:val="20"/>
                <w:szCs w:val="20"/>
                <w:lang w:val="en-AU"/>
              </w:rPr>
              <w:t xml:space="preserve"> </w:t>
            </w:r>
            <w:r w:rsidR="00C643C5">
              <w:rPr>
                <w:sz w:val="20"/>
                <w:szCs w:val="20"/>
                <w:lang w:val="en-AU"/>
              </w:rPr>
              <w:t>anti-infective and bifidogenic</w:t>
            </w:r>
            <w:r w:rsidR="000A4E7E" w:rsidRPr="00BC04A8">
              <w:rPr>
                <w:sz w:val="20"/>
                <w:szCs w:val="20"/>
                <w:lang w:val="en-AU"/>
              </w:rPr>
              <w:t xml:space="preserve"> </w:t>
            </w:r>
            <w:r w:rsidR="00A269D0" w:rsidRPr="00BC04A8">
              <w:rPr>
                <w:sz w:val="20"/>
                <w:szCs w:val="20"/>
                <w:lang w:val="en-AU"/>
              </w:rPr>
              <w:t xml:space="preserve">effects </w:t>
            </w:r>
            <w:r w:rsidR="00E56B44">
              <w:rPr>
                <w:sz w:val="20"/>
                <w:szCs w:val="20"/>
                <w:lang w:val="en-AU"/>
              </w:rPr>
              <w:t xml:space="preserve">for the purpose of compositional permission </w:t>
            </w:r>
            <w:r w:rsidR="00A269D0" w:rsidRPr="00BC04A8">
              <w:rPr>
                <w:sz w:val="20"/>
                <w:szCs w:val="20"/>
                <w:lang w:val="en-AU"/>
              </w:rPr>
              <w:t xml:space="preserve">and </w:t>
            </w:r>
            <w:r w:rsidR="00D31D00">
              <w:rPr>
                <w:sz w:val="20"/>
                <w:szCs w:val="20"/>
                <w:lang w:val="en-AU"/>
              </w:rPr>
              <w:t xml:space="preserve">supported a link to </w:t>
            </w:r>
            <w:r w:rsidR="000A4E7E" w:rsidRPr="00BC04A8">
              <w:rPr>
                <w:sz w:val="20"/>
                <w:szCs w:val="20"/>
                <w:lang w:val="en-AU"/>
              </w:rPr>
              <w:t xml:space="preserve">potential </w:t>
            </w:r>
            <w:r w:rsidR="00120BF8" w:rsidRPr="00BC04A8">
              <w:rPr>
                <w:sz w:val="20"/>
                <w:szCs w:val="20"/>
                <w:lang w:val="en-AU"/>
              </w:rPr>
              <w:t xml:space="preserve">beneficial </w:t>
            </w:r>
            <w:r w:rsidR="003D28B8" w:rsidRPr="00BC04A8">
              <w:rPr>
                <w:sz w:val="20"/>
                <w:szCs w:val="20"/>
                <w:lang w:val="en-AU"/>
              </w:rPr>
              <w:t>health outcomes</w:t>
            </w:r>
            <w:r w:rsidR="00AD69E1" w:rsidRPr="00BC04A8">
              <w:rPr>
                <w:sz w:val="20"/>
                <w:szCs w:val="20"/>
                <w:lang w:val="en-AU"/>
              </w:rPr>
              <w:t>.</w:t>
            </w:r>
          </w:p>
          <w:p w14:paraId="6A817FFA" w14:textId="7D9FD239" w:rsidR="00B03490" w:rsidRPr="00142327" w:rsidRDefault="00990716" w:rsidP="003001A8">
            <w:pPr>
              <w:spacing w:after="120"/>
              <w:rPr>
                <w:sz w:val="20"/>
                <w:szCs w:val="20"/>
                <w:lang w:val="en-AU" w:bidi="ar-SA"/>
              </w:rPr>
            </w:pPr>
            <w:r>
              <w:rPr>
                <w:sz w:val="20"/>
                <w:szCs w:val="20"/>
                <w:lang w:val="en-AU" w:bidi="ar-SA"/>
              </w:rPr>
              <w:t>See section</w:t>
            </w:r>
            <w:r w:rsidR="00EE4E86">
              <w:rPr>
                <w:sz w:val="20"/>
                <w:szCs w:val="20"/>
                <w:lang w:val="en-AU" w:bidi="ar-SA"/>
              </w:rPr>
              <w:t>s 2.</w:t>
            </w:r>
            <w:r w:rsidR="00C760A1">
              <w:rPr>
                <w:sz w:val="20"/>
                <w:szCs w:val="20"/>
                <w:lang w:val="en-AU" w:bidi="ar-SA"/>
              </w:rPr>
              <w:t>3</w:t>
            </w:r>
            <w:r w:rsidR="00EE4E86">
              <w:rPr>
                <w:sz w:val="20"/>
                <w:szCs w:val="20"/>
                <w:lang w:val="en-AU" w:bidi="ar-SA"/>
              </w:rPr>
              <w:t>.1 and</w:t>
            </w:r>
            <w:r>
              <w:rPr>
                <w:sz w:val="20"/>
                <w:szCs w:val="20"/>
                <w:lang w:val="en-AU" w:bidi="ar-SA"/>
              </w:rPr>
              <w:t xml:space="preserve"> 2.</w:t>
            </w:r>
            <w:r w:rsidR="00C760A1">
              <w:rPr>
                <w:sz w:val="20"/>
                <w:szCs w:val="20"/>
                <w:lang w:val="en-AU" w:bidi="ar-SA"/>
              </w:rPr>
              <w:t>3</w:t>
            </w:r>
            <w:r>
              <w:rPr>
                <w:sz w:val="20"/>
                <w:szCs w:val="20"/>
                <w:lang w:val="en-AU" w:bidi="ar-SA"/>
              </w:rPr>
              <w:t>.3 of the</w:t>
            </w:r>
            <w:r w:rsidR="00C760A1">
              <w:rPr>
                <w:sz w:val="20"/>
                <w:szCs w:val="20"/>
                <w:lang w:val="en-AU" w:bidi="ar-SA"/>
              </w:rPr>
              <w:t xml:space="preserve"> 2</w:t>
            </w:r>
            <w:r w:rsidR="00C760A1" w:rsidRPr="00C760A1">
              <w:rPr>
                <w:sz w:val="20"/>
                <w:szCs w:val="20"/>
                <w:vertAlign w:val="superscript"/>
                <w:lang w:val="en-AU" w:bidi="ar-SA"/>
              </w:rPr>
              <w:t>nd</w:t>
            </w:r>
            <w:r w:rsidR="00C760A1">
              <w:rPr>
                <w:sz w:val="20"/>
                <w:szCs w:val="20"/>
                <w:lang w:val="en-AU" w:bidi="ar-SA"/>
              </w:rPr>
              <w:t xml:space="preserve"> </w:t>
            </w:r>
            <w:r>
              <w:rPr>
                <w:sz w:val="20"/>
                <w:szCs w:val="20"/>
                <w:lang w:val="en-AU" w:bidi="ar-SA"/>
              </w:rPr>
              <w:t xml:space="preserve">CFS report. </w:t>
            </w:r>
          </w:p>
        </w:tc>
      </w:tr>
      <w:tr w:rsidR="00521D34" w:rsidRPr="00932F72" w14:paraId="2DE13942" w14:textId="77777777" w:rsidTr="00A269D0">
        <w:tc>
          <w:tcPr>
            <w:tcW w:w="2499" w:type="pct"/>
          </w:tcPr>
          <w:p w14:paraId="6C073228" w14:textId="7C257AF6" w:rsidR="00521D34" w:rsidRPr="00F86EEB" w:rsidRDefault="00521D34" w:rsidP="008D08E0">
            <w:pPr>
              <w:rPr>
                <w:rFonts w:cs="Arial"/>
                <w:sz w:val="20"/>
                <w:lang w:val="en-AU"/>
              </w:rPr>
            </w:pPr>
            <w:r w:rsidRPr="00F86EEB">
              <w:rPr>
                <w:rFonts w:cs="Arial"/>
                <w:sz w:val="20"/>
                <w:lang w:val="en-AU"/>
              </w:rPr>
              <w:t>(k) The labelling and advertising of infant formula products should be consistent with the World Health Organization International Code of Marketing of Breast Milk Substitutes as implemented in Australia and New Zealand.</w:t>
            </w:r>
          </w:p>
        </w:tc>
        <w:tc>
          <w:tcPr>
            <w:tcW w:w="2501" w:type="pct"/>
          </w:tcPr>
          <w:p w14:paraId="6F9B5CA3" w14:textId="68AC6191" w:rsidR="007742A1" w:rsidRDefault="007961F4" w:rsidP="003001A8">
            <w:pPr>
              <w:spacing w:after="120"/>
              <w:rPr>
                <w:sz w:val="20"/>
                <w:szCs w:val="20"/>
                <w:lang w:bidi="ar-SA"/>
              </w:rPr>
            </w:pPr>
            <w:r>
              <w:rPr>
                <w:sz w:val="20"/>
                <w:szCs w:val="20"/>
                <w:lang w:bidi="ar-SA"/>
              </w:rPr>
              <w:t>E</w:t>
            </w:r>
            <w:r w:rsidRPr="00D836AD">
              <w:rPr>
                <w:sz w:val="20"/>
                <w:szCs w:val="20"/>
                <w:lang w:bidi="ar-SA"/>
              </w:rPr>
              <w:t xml:space="preserve">xisting </w:t>
            </w:r>
            <w:r>
              <w:rPr>
                <w:sz w:val="20"/>
                <w:szCs w:val="20"/>
                <w:lang w:bidi="ar-SA"/>
              </w:rPr>
              <w:t xml:space="preserve">labelling requirements which </w:t>
            </w:r>
            <w:r w:rsidRPr="00D836AD">
              <w:rPr>
                <w:sz w:val="20"/>
                <w:szCs w:val="20"/>
                <w:lang w:bidi="ar-SA"/>
              </w:rPr>
              <w:t>would apply</w:t>
            </w:r>
            <w:r w:rsidRPr="00D836AD">
              <w:rPr>
                <w:rFonts w:cs="Arial"/>
                <w:sz w:val="20"/>
                <w:lang w:val="en-AU"/>
              </w:rPr>
              <w:t xml:space="preserve"> to the proposed addition of 2</w:t>
            </w:r>
            <w:r>
              <w:rPr>
                <w:rFonts w:cs="Arial"/>
                <w:sz w:val="20"/>
                <w:lang w:val="en-AU"/>
              </w:rPr>
              <w:t>′</w:t>
            </w:r>
            <w:r w:rsidRPr="00D836AD">
              <w:rPr>
                <w:rFonts w:cs="Arial"/>
                <w:sz w:val="20"/>
                <w:lang w:val="en-AU"/>
              </w:rPr>
              <w:t>-FL and LNnT</w:t>
            </w:r>
            <w:r>
              <w:rPr>
                <w:rFonts w:cs="Arial"/>
                <w:sz w:val="20"/>
                <w:lang w:val="en-AU"/>
              </w:rPr>
              <w:t xml:space="preserve"> </w:t>
            </w:r>
            <w:r w:rsidR="007742A1">
              <w:rPr>
                <w:sz w:val="20"/>
                <w:szCs w:val="20"/>
                <w:lang w:bidi="ar-SA"/>
              </w:rPr>
              <w:t xml:space="preserve">support </w:t>
            </w:r>
            <w:r w:rsidR="00F522B2">
              <w:rPr>
                <w:sz w:val="20"/>
                <w:szCs w:val="20"/>
                <w:lang w:bidi="ar-SA"/>
              </w:rPr>
              <w:t xml:space="preserve">this specific </w:t>
            </w:r>
            <w:r w:rsidR="007742A1">
              <w:rPr>
                <w:sz w:val="20"/>
                <w:szCs w:val="20"/>
                <w:lang w:bidi="ar-SA"/>
              </w:rPr>
              <w:t>policy principle (see section 2.3.5 of the 2</w:t>
            </w:r>
            <w:r w:rsidR="007742A1" w:rsidRPr="007742A1">
              <w:rPr>
                <w:sz w:val="20"/>
                <w:szCs w:val="20"/>
                <w:vertAlign w:val="superscript"/>
                <w:lang w:bidi="ar-SA"/>
              </w:rPr>
              <w:t>nd</w:t>
            </w:r>
            <w:r w:rsidR="007742A1">
              <w:rPr>
                <w:sz w:val="20"/>
                <w:szCs w:val="20"/>
                <w:lang w:bidi="ar-SA"/>
              </w:rPr>
              <w:t xml:space="preserve"> CFS report</w:t>
            </w:r>
            <w:r w:rsidR="00F522B2">
              <w:rPr>
                <w:sz w:val="20"/>
                <w:szCs w:val="20"/>
                <w:lang w:bidi="ar-SA"/>
              </w:rPr>
              <w:t xml:space="preserve"> for existing labelling requirements)</w:t>
            </w:r>
            <w:r w:rsidR="007742A1">
              <w:rPr>
                <w:sz w:val="20"/>
                <w:szCs w:val="20"/>
                <w:lang w:bidi="ar-SA"/>
              </w:rPr>
              <w:t>.</w:t>
            </w:r>
          </w:p>
          <w:p w14:paraId="6B1C0B0F" w14:textId="294FF39A" w:rsidR="00521D34" w:rsidRDefault="007742A1" w:rsidP="003001A8">
            <w:pPr>
              <w:spacing w:after="120"/>
              <w:rPr>
                <w:sz w:val="20"/>
                <w:szCs w:val="20"/>
                <w:lang w:val="en-AU" w:bidi="ar-SA"/>
              </w:rPr>
            </w:pPr>
            <w:r>
              <w:rPr>
                <w:sz w:val="20"/>
                <w:szCs w:val="20"/>
                <w:lang w:bidi="ar-SA"/>
              </w:rPr>
              <w:t xml:space="preserve">A specific prohibition of terms such as ‘human milk identical oligosaccharide’ is </w:t>
            </w:r>
            <w:r w:rsidR="009E2344">
              <w:rPr>
                <w:sz w:val="20"/>
                <w:szCs w:val="20"/>
                <w:lang w:bidi="ar-SA"/>
              </w:rPr>
              <w:t xml:space="preserve">now </w:t>
            </w:r>
            <w:r>
              <w:rPr>
                <w:sz w:val="20"/>
                <w:szCs w:val="20"/>
                <w:lang w:bidi="ar-SA"/>
              </w:rPr>
              <w:t xml:space="preserve">also proposed – see </w:t>
            </w:r>
            <w:r w:rsidR="00F522B2">
              <w:rPr>
                <w:sz w:val="20"/>
                <w:szCs w:val="20"/>
                <w:lang w:bidi="ar-SA"/>
              </w:rPr>
              <w:t xml:space="preserve">further </w:t>
            </w:r>
            <w:r w:rsidR="00AC5D93">
              <w:rPr>
                <w:sz w:val="20"/>
                <w:szCs w:val="20"/>
                <w:lang w:bidi="ar-SA"/>
              </w:rPr>
              <w:t xml:space="preserve">comments to </w:t>
            </w:r>
            <w:r w:rsidR="00D40D54">
              <w:rPr>
                <w:sz w:val="20"/>
                <w:szCs w:val="20"/>
                <w:lang w:bidi="ar-SA"/>
              </w:rPr>
              <w:t>specific principle (l) below.</w:t>
            </w:r>
          </w:p>
        </w:tc>
      </w:tr>
      <w:tr w:rsidR="00521D34" w:rsidRPr="00932F72" w14:paraId="5196E210" w14:textId="77777777" w:rsidTr="00A269D0">
        <w:tc>
          <w:tcPr>
            <w:tcW w:w="2499" w:type="pct"/>
          </w:tcPr>
          <w:p w14:paraId="29DE6D5D" w14:textId="7B2F554E" w:rsidR="00521D34" w:rsidRDefault="00521D34" w:rsidP="008D08E0">
            <w:pPr>
              <w:rPr>
                <w:rFonts w:cs="Arial"/>
                <w:sz w:val="20"/>
                <w:lang w:val="en-AU"/>
              </w:rPr>
            </w:pPr>
            <w:r w:rsidRPr="00F86EEB">
              <w:rPr>
                <w:rFonts w:cs="Arial"/>
                <w:sz w:val="20"/>
                <w:lang w:val="en-AU"/>
              </w:rPr>
              <w:t>(l) The labelling and advertising of infant formula products should not represent those products as an equivalent to, or better than, breast milk.</w:t>
            </w:r>
          </w:p>
        </w:tc>
        <w:tc>
          <w:tcPr>
            <w:tcW w:w="2501" w:type="pct"/>
          </w:tcPr>
          <w:p w14:paraId="14FE7CF3" w14:textId="142D9440" w:rsidR="00486BC5" w:rsidRDefault="00486BC5" w:rsidP="003001A8">
            <w:pPr>
              <w:spacing w:after="120"/>
              <w:rPr>
                <w:rFonts w:cs="Arial"/>
                <w:sz w:val="20"/>
                <w:szCs w:val="20"/>
              </w:rPr>
            </w:pPr>
            <w:r>
              <w:rPr>
                <w:rFonts w:cs="Arial"/>
                <w:sz w:val="20"/>
                <w:szCs w:val="20"/>
              </w:rPr>
              <w:t>Following consideration of submissions</w:t>
            </w:r>
            <w:r w:rsidR="00034702">
              <w:rPr>
                <w:rFonts w:cs="Arial"/>
                <w:sz w:val="20"/>
                <w:szCs w:val="20"/>
              </w:rPr>
              <w:t xml:space="preserve">, FSANZ </w:t>
            </w:r>
            <w:r w:rsidR="007742A1" w:rsidRPr="00FA5474">
              <w:rPr>
                <w:rFonts w:cs="Arial"/>
                <w:sz w:val="20"/>
                <w:szCs w:val="20"/>
              </w:rPr>
              <w:t>now propos</w:t>
            </w:r>
            <w:r w:rsidR="0087524E">
              <w:rPr>
                <w:rFonts w:cs="Arial"/>
                <w:sz w:val="20"/>
                <w:szCs w:val="20"/>
              </w:rPr>
              <w:t>es</w:t>
            </w:r>
            <w:r w:rsidR="007742A1" w:rsidRPr="00FA5474">
              <w:rPr>
                <w:rFonts w:cs="Arial"/>
                <w:sz w:val="20"/>
                <w:szCs w:val="20"/>
              </w:rPr>
              <w:t xml:space="preserve"> to specifically prohibit reference to ‘human milk identical oligosaccharide’, ‘human milk oligosaccharide’, ‘HiMO’ or ‘HMO’ (or words or abbreviations of similar effect) on infant formula products</w:t>
            </w:r>
            <w:r w:rsidR="007742A1">
              <w:rPr>
                <w:rFonts w:cs="Arial"/>
                <w:sz w:val="20"/>
                <w:szCs w:val="20"/>
              </w:rPr>
              <w:t xml:space="preserve">. </w:t>
            </w:r>
          </w:p>
          <w:p w14:paraId="55163FB5" w14:textId="1B30732E" w:rsidR="00521D34" w:rsidRDefault="00486BC5" w:rsidP="009F25D2">
            <w:pPr>
              <w:widowControl/>
              <w:spacing w:after="120"/>
              <w:rPr>
                <w:sz w:val="20"/>
                <w:szCs w:val="20"/>
                <w:lang w:val="en-AU" w:bidi="ar-SA"/>
              </w:rPr>
            </w:pPr>
            <w:r>
              <w:rPr>
                <w:sz w:val="20"/>
                <w:szCs w:val="20"/>
                <w:lang w:bidi="ar-SA"/>
              </w:rPr>
              <w:t>Although the intent of subs</w:t>
            </w:r>
            <w:r w:rsidRPr="00D836AD">
              <w:rPr>
                <w:sz w:val="20"/>
                <w:szCs w:val="20"/>
                <w:lang w:bidi="ar-SA"/>
              </w:rPr>
              <w:t>ection 2.9.1—24</w:t>
            </w:r>
            <w:r>
              <w:rPr>
                <w:sz w:val="20"/>
                <w:szCs w:val="20"/>
                <w:lang w:bidi="ar-SA"/>
              </w:rPr>
              <w:t>(c)</w:t>
            </w:r>
            <w:r w:rsidRPr="00D836AD">
              <w:rPr>
                <w:sz w:val="20"/>
                <w:szCs w:val="20"/>
                <w:lang w:bidi="ar-SA"/>
              </w:rPr>
              <w:t xml:space="preserve"> of the </w:t>
            </w:r>
            <w:r>
              <w:rPr>
                <w:sz w:val="20"/>
                <w:szCs w:val="20"/>
                <w:lang w:bidi="ar-SA"/>
              </w:rPr>
              <w:t xml:space="preserve">Code is to prohibit such terminology on the label of infant </w:t>
            </w:r>
            <w:r w:rsidRPr="00272431">
              <w:rPr>
                <w:sz w:val="20"/>
                <w:szCs w:val="20"/>
                <w:lang w:bidi="ar-SA"/>
              </w:rPr>
              <w:t xml:space="preserve">formula </w:t>
            </w:r>
            <w:r w:rsidR="00DF1B8F" w:rsidRPr="00272431">
              <w:rPr>
                <w:sz w:val="20"/>
                <w:szCs w:val="20"/>
                <w:lang w:bidi="ar-SA"/>
              </w:rPr>
              <w:t>products</w:t>
            </w:r>
            <w:r w:rsidRPr="00272431">
              <w:rPr>
                <w:sz w:val="20"/>
                <w:szCs w:val="20"/>
                <w:lang w:bidi="ar-SA"/>
              </w:rPr>
              <w:t xml:space="preserve">, FSANZ considers a </w:t>
            </w:r>
            <w:r w:rsidRPr="00272431">
              <w:rPr>
                <w:sz w:val="20"/>
                <w:szCs w:val="20"/>
                <w:lang w:bidi="ar-SA"/>
              </w:rPr>
              <w:lastRenderedPageBreak/>
              <w:t xml:space="preserve">specific prohibition would </w:t>
            </w:r>
            <w:r w:rsidRPr="00272431">
              <w:rPr>
                <w:rFonts w:cs="Arial"/>
                <w:sz w:val="20"/>
                <w:szCs w:val="20"/>
              </w:rPr>
              <w:t>communicate more clearly that such terminology is inconsistent</w:t>
            </w:r>
            <w:r>
              <w:rPr>
                <w:rFonts w:cs="Arial"/>
                <w:sz w:val="20"/>
                <w:szCs w:val="20"/>
              </w:rPr>
              <w:t xml:space="preserve"> with specific policy </w:t>
            </w:r>
            <w:r w:rsidR="00DF1B8F">
              <w:rPr>
                <w:rFonts w:cs="Arial"/>
                <w:sz w:val="20"/>
                <w:szCs w:val="20"/>
              </w:rPr>
              <w:t>principle</w:t>
            </w:r>
            <w:r>
              <w:rPr>
                <w:rFonts w:cs="Arial"/>
                <w:sz w:val="20"/>
                <w:szCs w:val="20"/>
              </w:rPr>
              <w:t xml:space="preserve"> (l).</w:t>
            </w:r>
          </w:p>
        </w:tc>
      </w:tr>
      <w:tr w:rsidR="000354E8" w:rsidRPr="00932F72" w14:paraId="22572731" w14:textId="77777777" w:rsidTr="00A269D0">
        <w:trPr>
          <w:trHeight w:val="1055"/>
        </w:trPr>
        <w:tc>
          <w:tcPr>
            <w:tcW w:w="2499" w:type="pct"/>
          </w:tcPr>
          <w:p w14:paraId="399B0E60" w14:textId="07AF6A2D" w:rsidR="000354E8" w:rsidRPr="00F86EEB" w:rsidRDefault="000354E8" w:rsidP="008D08E0">
            <w:pPr>
              <w:rPr>
                <w:rFonts w:cs="Arial"/>
                <w:sz w:val="20"/>
                <w:lang w:val="en-AU"/>
              </w:rPr>
            </w:pPr>
            <w:r w:rsidRPr="00F86EEB">
              <w:rPr>
                <w:rFonts w:cs="Arial"/>
                <w:sz w:val="20"/>
                <w:lang w:val="en-AU"/>
              </w:rPr>
              <w:lastRenderedPageBreak/>
              <w:t>(m) The labelling and advertising of infant formula products should provide information on the appropriate and safe use of those products.</w:t>
            </w:r>
          </w:p>
        </w:tc>
        <w:tc>
          <w:tcPr>
            <w:tcW w:w="2501" w:type="pct"/>
          </w:tcPr>
          <w:p w14:paraId="0C8340BC" w14:textId="3D78A464" w:rsidR="000354E8" w:rsidRPr="00D836AD" w:rsidRDefault="000354E8" w:rsidP="00DD0B8A">
            <w:pPr>
              <w:spacing w:after="120"/>
              <w:rPr>
                <w:sz w:val="20"/>
                <w:szCs w:val="20"/>
                <w:lang w:bidi="ar-SA"/>
              </w:rPr>
            </w:pPr>
            <w:r w:rsidRPr="00D836AD">
              <w:rPr>
                <w:sz w:val="20"/>
                <w:szCs w:val="20"/>
                <w:lang w:bidi="ar-SA"/>
              </w:rPr>
              <w:t xml:space="preserve">The proposed </w:t>
            </w:r>
            <w:r w:rsidR="00EF1F1F" w:rsidRPr="00D836AD">
              <w:rPr>
                <w:sz w:val="20"/>
                <w:szCs w:val="20"/>
                <w:lang w:bidi="ar-SA"/>
              </w:rPr>
              <w:t xml:space="preserve">voluntary </w:t>
            </w:r>
            <w:r w:rsidR="00C87FFB">
              <w:rPr>
                <w:sz w:val="20"/>
                <w:szCs w:val="20"/>
                <w:lang w:bidi="ar-SA"/>
              </w:rPr>
              <w:t>addition of 2</w:t>
            </w:r>
            <w:r w:rsidR="005D4C6E">
              <w:rPr>
                <w:sz w:val="20"/>
                <w:szCs w:val="20"/>
                <w:lang w:bidi="ar-SA"/>
              </w:rPr>
              <w:t>′</w:t>
            </w:r>
            <w:r w:rsidR="00C87FFB">
              <w:rPr>
                <w:sz w:val="20"/>
                <w:szCs w:val="20"/>
                <w:lang w:bidi="ar-SA"/>
              </w:rPr>
              <w:t xml:space="preserve">-FL and LNnT </w:t>
            </w:r>
            <w:r w:rsidR="00AF7B6E" w:rsidRPr="00D836AD">
              <w:rPr>
                <w:sz w:val="20"/>
                <w:szCs w:val="20"/>
                <w:lang w:bidi="ar-SA"/>
              </w:rPr>
              <w:t xml:space="preserve">to infant formula products </w:t>
            </w:r>
            <w:r w:rsidR="007517BF" w:rsidRPr="00D836AD">
              <w:rPr>
                <w:sz w:val="20"/>
                <w:szCs w:val="20"/>
                <w:lang w:bidi="ar-SA"/>
              </w:rPr>
              <w:t xml:space="preserve">would be </w:t>
            </w:r>
            <w:r w:rsidRPr="00D836AD">
              <w:rPr>
                <w:sz w:val="20"/>
                <w:szCs w:val="20"/>
                <w:lang w:bidi="ar-SA"/>
              </w:rPr>
              <w:t xml:space="preserve">subject to existing labelling requirements in </w:t>
            </w:r>
            <w:r w:rsidR="00AF7B6E" w:rsidRPr="00D836AD">
              <w:rPr>
                <w:sz w:val="20"/>
                <w:szCs w:val="20"/>
                <w:lang w:bidi="ar-SA"/>
              </w:rPr>
              <w:t>Standard 2.9.1</w:t>
            </w:r>
            <w:r w:rsidR="006663F6" w:rsidRPr="00D836AD">
              <w:rPr>
                <w:sz w:val="20"/>
                <w:szCs w:val="20"/>
                <w:lang w:bidi="ar-SA"/>
              </w:rPr>
              <w:t xml:space="preserve"> </w:t>
            </w:r>
            <w:r w:rsidR="00DD0B8A">
              <w:rPr>
                <w:sz w:val="20"/>
                <w:szCs w:val="20"/>
                <w:lang w:bidi="ar-SA"/>
              </w:rPr>
              <w:t>which provide information on the safe and appropriate use of infant formula products.</w:t>
            </w:r>
          </w:p>
        </w:tc>
      </w:tr>
      <w:tr w:rsidR="000354E8" w:rsidRPr="00932F72" w14:paraId="43F91324" w14:textId="77777777" w:rsidTr="00A269D0">
        <w:tc>
          <w:tcPr>
            <w:tcW w:w="2499" w:type="pct"/>
          </w:tcPr>
          <w:p w14:paraId="4E1C963C" w14:textId="77777777" w:rsidR="000354E8" w:rsidRPr="00F86EEB" w:rsidRDefault="000354E8" w:rsidP="008D08E0">
            <w:pPr>
              <w:rPr>
                <w:rFonts w:cs="Arial"/>
                <w:sz w:val="20"/>
                <w:lang w:val="en-AU"/>
              </w:rPr>
            </w:pPr>
            <w:r w:rsidRPr="00F86EEB">
              <w:rPr>
                <w:rFonts w:cs="Arial"/>
                <w:sz w:val="20"/>
                <w:lang w:val="en-AU"/>
              </w:rPr>
              <w:t>(n) The Authority should:</w:t>
            </w:r>
          </w:p>
          <w:p w14:paraId="39BC59C2" w14:textId="4807101C" w:rsidR="000354E8" w:rsidRPr="00F86EEB" w:rsidRDefault="000354E8" w:rsidP="008D08E0">
            <w:pPr>
              <w:ind w:left="426"/>
              <w:rPr>
                <w:rFonts w:cs="Arial"/>
                <w:sz w:val="20"/>
                <w:lang w:val="en-AU"/>
              </w:rPr>
            </w:pPr>
            <w:r w:rsidRPr="00F86EEB">
              <w:rPr>
                <w:rFonts w:cs="Arial"/>
                <w:sz w:val="20"/>
                <w:lang w:val="en-AU"/>
              </w:rPr>
              <w:t>i. ensure that the prohibitions and restrictions on nutrient content, health, therapeutic, and prophylactic claims in the Food Standards Code are clear and effective for infant formula products; and</w:t>
            </w:r>
          </w:p>
          <w:p w14:paraId="09CC38C7" w14:textId="293013CD" w:rsidR="000354E8" w:rsidRPr="00F86EEB" w:rsidRDefault="000354E8" w:rsidP="008D08E0">
            <w:pPr>
              <w:ind w:left="426"/>
              <w:rPr>
                <w:rFonts w:cs="Arial"/>
                <w:sz w:val="20"/>
                <w:lang w:val="en-AU"/>
              </w:rPr>
            </w:pPr>
            <w:r w:rsidRPr="00F86EEB">
              <w:rPr>
                <w:rFonts w:cs="Arial"/>
                <w:sz w:val="20"/>
                <w:lang w:val="en-AU"/>
              </w:rPr>
              <w:t>ii. consider whether the current labelling regime is leading to consumers being misled about the quality or effectiveness of an infant formula product.</w:t>
            </w:r>
          </w:p>
        </w:tc>
        <w:tc>
          <w:tcPr>
            <w:tcW w:w="2501" w:type="pct"/>
          </w:tcPr>
          <w:p w14:paraId="3D9AD213" w14:textId="655E64CD" w:rsidR="000354E8" w:rsidRDefault="000354E8" w:rsidP="003001A8">
            <w:pPr>
              <w:spacing w:after="120"/>
              <w:rPr>
                <w:rFonts w:cs="Arial"/>
                <w:sz w:val="20"/>
                <w:lang w:val="en-AU"/>
              </w:rPr>
            </w:pPr>
            <w:r w:rsidRPr="00D836AD">
              <w:rPr>
                <w:sz w:val="20"/>
                <w:szCs w:val="20"/>
                <w:lang w:bidi="ar-SA"/>
              </w:rPr>
              <w:t xml:space="preserve">The existing </w:t>
            </w:r>
            <w:r w:rsidR="00706DA3" w:rsidRPr="00D836AD">
              <w:rPr>
                <w:sz w:val="20"/>
                <w:szCs w:val="20"/>
                <w:lang w:bidi="ar-SA"/>
              </w:rPr>
              <w:t xml:space="preserve">labelling requirements, including the </w:t>
            </w:r>
            <w:r w:rsidRPr="00D836AD">
              <w:rPr>
                <w:sz w:val="20"/>
                <w:szCs w:val="20"/>
                <w:lang w:bidi="ar-SA"/>
              </w:rPr>
              <w:t>prohibition for nutrition content claims and health cla</w:t>
            </w:r>
            <w:r w:rsidR="002754B3" w:rsidRPr="00D836AD">
              <w:rPr>
                <w:sz w:val="20"/>
                <w:szCs w:val="20"/>
                <w:lang w:bidi="ar-SA"/>
              </w:rPr>
              <w:t xml:space="preserve">ims for infant formula products, </w:t>
            </w:r>
            <w:r w:rsidR="004423F2" w:rsidRPr="00D836AD">
              <w:rPr>
                <w:sz w:val="20"/>
                <w:szCs w:val="20"/>
                <w:lang w:bidi="ar-SA"/>
              </w:rPr>
              <w:t xml:space="preserve">would </w:t>
            </w:r>
            <w:r w:rsidRPr="00D836AD">
              <w:rPr>
                <w:sz w:val="20"/>
                <w:szCs w:val="20"/>
                <w:lang w:bidi="ar-SA"/>
              </w:rPr>
              <w:t>apply</w:t>
            </w:r>
            <w:r w:rsidR="006663F6" w:rsidRPr="00D836AD">
              <w:rPr>
                <w:rFonts w:cs="Arial"/>
                <w:sz w:val="20"/>
                <w:lang w:val="en-AU"/>
              </w:rPr>
              <w:t xml:space="preserve"> </w:t>
            </w:r>
            <w:r w:rsidR="002754B3" w:rsidRPr="00D836AD">
              <w:rPr>
                <w:rFonts w:cs="Arial"/>
                <w:sz w:val="20"/>
                <w:lang w:val="en-AU"/>
              </w:rPr>
              <w:t>to the proposed addition of 2</w:t>
            </w:r>
            <w:r w:rsidR="005D4C6E">
              <w:rPr>
                <w:rFonts w:cs="Arial"/>
                <w:sz w:val="20"/>
                <w:lang w:val="en-AU"/>
              </w:rPr>
              <w:t>′</w:t>
            </w:r>
            <w:r w:rsidR="002754B3" w:rsidRPr="00D836AD">
              <w:rPr>
                <w:rFonts w:cs="Arial"/>
                <w:sz w:val="20"/>
                <w:lang w:val="en-AU"/>
              </w:rPr>
              <w:t>-FL and LNnT</w:t>
            </w:r>
            <w:r w:rsidR="006663F6" w:rsidRPr="00D836AD">
              <w:rPr>
                <w:rFonts w:cs="Arial"/>
                <w:sz w:val="20"/>
                <w:lang w:val="en-AU"/>
              </w:rPr>
              <w:t>.</w:t>
            </w:r>
            <w:r w:rsidRPr="00D836AD">
              <w:rPr>
                <w:rFonts w:cs="Arial"/>
                <w:sz w:val="20"/>
                <w:lang w:val="en-AU"/>
              </w:rPr>
              <w:t xml:space="preserve"> </w:t>
            </w:r>
          </w:p>
          <w:p w14:paraId="7AAAE0D6" w14:textId="6F20D413" w:rsidR="000354E8" w:rsidRPr="00485929" w:rsidRDefault="009E2344" w:rsidP="003001A8">
            <w:pPr>
              <w:spacing w:after="120"/>
              <w:rPr>
                <w:rFonts w:cs="Arial"/>
                <w:sz w:val="20"/>
                <w:lang w:val="en-AU"/>
              </w:rPr>
            </w:pPr>
            <w:r>
              <w:rPr>
                <w:rFonts w:cs="Arial"/>
                <w:sz w:val="20"/>
                <w:lang w:val="en-AU"/>
              </w:rPr>
              <w:t>FSANZ is also proposing to specifically prohibit terminology such as ‘human milk identical’ (see policy principle (l) above)</w:t>
            </w:r>
            <w:r w:rsidR="00DD0B8A">
              <w:rPr>
                <w:rFonts w:cs="Arial"/>
                <w:sz w:val="20"/>
                <w:lang w:val="en-AU"/>
              </w:rPr>
              <w:t xml:space="preserve"> to avoid </w:t>
            </w:r>
            <w:r w:rsidR="0087524E">
              <w:rPr>
                <w:rFonts w:cs="Arial"/>
                <w:sz w:val="20"/>
                <w:lang w:val="en-AU"/>
              </w:rPr>
              <w:t xml:space="preserve">misleading </w:t>
            </w:r>
            <w:r w:rsidR="00DD0B8A">
              <w:rPr>
                <w:rFonts w:cs="Arial"/>
                <w:sz w:val="20"/>
                <w:lang w:val="en-AU"/>
              </w:rPr>
              <w:t xml:space="preserve">consumers by the addition of </w:t>
            </w:r>
            <w:r w:rsidR="00DD0B8A" w:rsidRPr="00D836AD">
              <w:rPr>
                <w:rFonts w:cs="Arial"/>
                <w:sz w:val="20"/>
                <w:lang w:val="en-AU"/>
              </w:rPr>
              <w:t>2</w:t>
            </w:r>
            <w:r w:rsidR="00DD0B8A">
              <w:rPr>
                <w:rFonts w:cs="Arial"/>
                <w:sz w:val="20"/>
                <w:lang w:val="en-AU"/>
              </w:rPr>
              <w:t>′</w:t>
            </w:r>
            <w:r w:rsidR="00DD0B8A" w:rsidRPr="00D836AD">
              <w:rPr>
                <w:rFonts w:cs="Arial"/>
                <w:sz w:val="20"/>
                <w:lang w:val="en-AU"/>
              </w:rPr>
              <w:t>-FL and LNnT</w:t>
            </w:r>
            <w:r w:rsidR="00DD0B8A">
              <w:rPr>
                <w:rFonts w:cs="Arial"/>
                <w:sz w:val="20"/>
                <w:lang w:val="en-AU"/>
              </w:rPr>
              <w:t xml:space="preserve"> to </w:t>
            </w:r>
            <w:r w:rsidR="00DB75F9">
              <w:rPr>
                <w:rFonts w:cs="Arial"/>
                <w:sz w:val="20"/>
                <w:lang w:val="en-AU"/>
              </w:rPr>
              <w:t>i</w:t>
            </w:r>
            <w:r w:rsidR="00DD0B8A">
              <w:rPr>
                <w:rFonts w:cs="Arial"/>
                <w:sz w:val="20"/>
                <w:lang w:val="en-AU"/>
              </w:rPr>
              <w:t>nfant formula products.</w:t>
            </w:r>
            <w:r w:rsidR="00485929">
              <w:rPr>
                <w:rFonts w:cs="Arial"/>
                <w:sz w:val="20"/>
                <w:lang w:val="en-AU"/>
              </w:rPr>
              <w:t xml:space="preserve"> </w:t>
            </w:r>
            <w:r w:rsidR="007961F4">
              <w:rPr>
                <w:rFonts w:cs="Arial"/>
                <w:sz w:val="20"/>
                <w:lang w:val="en-AU"/>
              </w:rPr>
              <w:t>S</w:t>
            </w:r>
            <w:r w:rsidR="007961F4" w:rsidRPr="00D836AD">
              <w:rPr>
                <w:rFonts w:cs="Arial"/>
                <w:sz w:val="20"/>
                <w:lang w:val="en-AU"/>
              </w:rPr>
              <w:t>ee section 2.</w:t>
            </w:r>
            <w:r w:rsidR="007961F4">
              <w:rPr>
                <w:rFonts w:cs="Arial"/>
                <w:sz w:val="20"/>
                <w:lang w:val="en-AU"/>
              </w:rPr>
              <w:t>3</w:t>
            </w:r>
            <w:r w:rsidR="007961F4" w:rsidRPr="00D836AD">
              <w:rPr>
                <w:rFonts w:cs="Arial"/>
                <w:sz w:val="20"/>
                <w:lang w:val="en-AU"/>
              </w:rPr>
              <w:t xml:space="preserve">.5 of the </w:t>
            </w:r>
            <w:r w:rsidR="007961F4">
              <w:rPr>
                <w:rFonts w:cs="Arial"/>
                <w:sz w:val="20"/>
                <w:lang w:val="en-AU"/>
              </w:rPr>
              <w:t>2</w:t>
            </w:r>
            <w:r w:rsidR="007961F4" w:rsidRPr="009E2344">
              <w:rPr>
                <w:rFonts w:cs="Arial"/>
                <w:sz w:val="20"/>
                <w:vertAlign w:val="superscript"/>
                <w:lang w:val="en-AU"/>
              </w:rPr>
              <w:t>nd</w:t>
            </w:r>
            <w:r w:rsidR="007961F4">
              <w:rPr>
                <w:rFonts w:cs="Arial"/>
                <w:sz w:val="20"/>
                <w:lang w:val="en-AU"/>
              </w:rPr>
              <w:t xml:space="preserve"> </w:t>
            </w:r>
            <w:r w:rsidR="007961F4" w:rsidRPr="00D836AD">
              <w:rPr>
                <w:rFonts w:cs="Arial"/>
                <w:sz w:val="20"/>
                <w:lang w:val="en-AU"/>
              </w:rPr>
              <w:t>CFS report</w:t>
            </w:r>
            <w:r w:rsidR="00485929">
              <w:rPr>
                <w:rFonts w:cs="Arial"/>
                <w:sz w:val="20"/>
                <w:lang w:val="en-AU"/>
              </w:rPr>
              <w:t>.</w:t>
            </w:r>
          </w:p>
        </w:tc>
      </w:tr>
      <w:tr w:rsidR="008164C6" w:rsidRPr="00932F72" w14:paraId="49FFFDC9" w14:textId="77777777" w:rsidTr="00A269D0">
        <w:tc>
          <w:tcPr>
            <w:tcW w:w="2499" w:type="pct"/>
          </w:tcPr>
          <w:p w14:paraId="557372B5" w14:textId="37A51882" w:rsidR="008164C6" w:rsidRPr="00F86EEB" w:rsidRDefault="008164C6" w:rsidP="008D08E0">
            <w:pPr>
              <w:rPr>
                <w:rFonts w:cs="Arial"/>
                <w:sz w:val="20"/>
                <w:lang w:val="en-AU"/>
              </w:rPr>
            </w:pPr>
            <w:r>
              <w:rPr>
                <w:rFonts w:cs="Arial"/>
                <w:sz w:val="20"/>
                <w:lang w:val="en-AU"/>
              </w:rPr>
              <w:t>(o) Infant formula products for special dietary use must be safe, suitable and meet the nutritional requirements to support the growth, development and dietary management of the infants for whom they are intended.</w:t>
            </w:r>
          </w:p>
        </w:tc>
        <w:tc>
          <w:tcPr>
            <w:tcW w:w="2501" w:type="pct"/>
          </w:tcPr>
          <w:p w14:paraId="49046E15" w14:textId="0BAA11D6" w:rsidR="00FF1E63" w:rsidRPr="00D61629" w:rsidRDefault="00E55887" w:rsidP="003001A8">
            <w:pPr>
              <w:spacing w:after="120"/>
              <w:rPr>
                <w:sz w:val="20"/>
                <w:szCs w:val="20"/>
                <w:lang w:bidi="ar-SA"/>
              </w:rPr>
            </w:pPr>
            <w:r w:rsidRPr="00F86EEB">
              <w:rPr>
                <w:rFonts w:cs="Arial"/>
                <w:sz w:val="20"/>
                <w:lang w:val="en-AU"/>
              </w:rPr>
              <w:t>See comments for specific policy principle (d).</w:t>
            </w:r>
            <w:r w:rsidR="00B17675">
              <w:rPr>
                <w:rFonts w:cs="Arial"/>
                <w:sz w:val="20"/>
                <w:lang w:val="en-AU"/>
              </w:rPr>
              <w:t xml:space="preserve"> </w:t>
            </w:r>
            <w:r w:rsidR="00A269D0">
              <w:rPr>
                <w:rFonts w:cs="Arial"/>
                <w:sz w:val="20"/>
                <w:lang w:val="en-AU"/>
              </w:rPr>
              <w:t>FSANZ also notes</w:t>
            </w:r>
            <w:r w:rsidR="00DE3933">
              <w:rPr>
                <w:rFonts w:cs="Arial"/>
                <w:sz w:val="20"/>
                <w:lang w:val="en-AU"/>
              </w:rPr>
              <w:t xml:space="preserve"> that approval of 2</w:t>
            </w:r>
            <w:r w:rsidR="005D4C6E">
              <w:rPr>
                <w:rFonts w:cs="Arial"/>
                <w:sz w:val="20"/>
                <w:lang w:val="en-AU"/>
              </w:rPr>
              <w:t>′</w:t>
            </w:r>
            <w:r w:rsidR="003F20A6">
              <w:rPr>
                <w:rFonts w:cs="Arial"/>
                <w:sz w:val="20"/>
                <w:lang w:val="en-AU"/>
              </w:rPr>
              <w:t>-FL and LNnT would</w:t>
            </w:r>
            <w:r w:rsidR="00DE3933">
              <w:rPr>
                <w:rFonts w:cs="Arial"/>
                <w:sz w:val="20"/>
                <w:lang w:val="en-AU"/>
              </w:rPr>
              <w:t xml:space="preserve"> provide alternative options to </w:t>
            </w:r>
            <w:r w:rsidR="00923E43">
              <w:rPr>
                <w:rFonts w:cs="Arial"/>
                <w:sz w:val="20"/>
                <w:lang w:val="en-AU"/>
              </w:rPr>
              <w:t>GOS</w:t>
            </w:r>
            <w:r w:rsidR="00DE3933">
              <w:rPr>
                <w:rFonts w:cs="Arial"/>
                <w:sz w:val="20"/>
                <w:lang w:val="en-AU"/>
              </w:rPr>
              <w:t xml:space="preserve"> and </w:t>
            </w:r>
            <w:r w:rsidR="00923E43">
              <w:rPr>
                <w:rFonts w:cs="Arial"/>
                <w:sz w:val="20"/>
                <w:lang w:val="en-AU"/>
              </w:rPr>
              <w:t>ITF</w:t>
            </w:r>
            <w:r w:rsidR="00DE3933">
              <w:rPr>
                <w:rFonts w:cs="Arial"/>
                <w:sz w:val="20"/>
                <w:lang w:val="en-AU"/>
              </w:rPr>
              <w:t xml:space="preserve"> currently permitted </w:t>
            </w:r>
            <w:r w:rsidR="00337217">
              <w:rPr>
                <w:rFonts w:cs="Arial"/>
                <w:sz w:val="20"/>
                <w:lang w:val="en-AU"/>
              </w:rPr>
              <w:t xml:space="preserve">at higher levels </w:t>
            </w:r>
            <w:r w:rsidR="00DE3933">
              <w:rPr>
                <w:rFonts w:cs="Arial"/>
                <w:sz w:val="20"/>
                <w:lang w:val="en-AU"/>
              </w:rPr>
              <w:t xml:space="preserve">for use in infant formula products which </w:t>
            </w:r>
            <w:r w:rsidR="003F20A6">
              <w:rPr>
                <w:rFonts w:cs="Arial"/>
                <w:sz w:val="20"/>
                <w:lang w:val="en-AU"/>
              </w:rPr>
              <w:t>includes</w:t>
            </w:r>
            <w:r w:rsidR="00DE3933">
              <w:rPr>
                <w:rFonts w:cs="Arial"/>
                <w:sz w:val="20"/>
                <w:lang w:val="en-AU"/>
              </w:rPr>
              <w:t xml:space="preserve"> </w:t>
            </w:r>
            <w:r w:rsidR="003F20A6">
              <w:rPr>
                <w:rFonts w:cs="Arial"/>
                <w:sz w:val="20"/>
                <w:lang w:val="en-AU"/>
              </w:rPr>
              <w:t>such products for</w:t>
            </w:r>
            <w:r w:rsidR="00DE3933">
              <w:rPr>
                <w:rFonts w:cs="Arial"/>
                <w:sz w:val="20"/>
                <w:lang w:val="en-AU"/>
              </w:rPr>
              <w:t xml:space="preserve"> special dietary use.</w:t>
            </w:r>
            <w:r w:rsidR="005031D6">
              <w:rPr>
                <w:rFonts w:cs="Arial"/>
                <w:sz w:val="20"/>
                <w:lang w:val="en-AU"/>
              </w:rPr>
              <w:t xml:space="preserve"> These latter substances</w:t>
            </w:r>
            <w:r w:rsidR="003F20A6">
              <w:rPr>
                <w:rFonts w:cs="Arial"/>
                <w:sz w:val="20"/>
                <w:lang w:val="en-AU"/>
              </w:rPr>
              <w:t xml:space="preserve"> are not present, or only present in trace amounts, in human milk.</w:t>
            </w:r>
            <w:r w:rsidR="000A4E7E">
              <w:rPr>
                <w:rFonts w:cs="Arial"/>
                <w:sz w:val="20"/>
                <w:lang w:val="en-AU"/>
              </w:rPr>
              <w:t xml:space="preserve"> </w:t>
            </w:r>
          </w:p>
        </w:tc>
      </w:tr>
      <w:tr w:rsidR="008164C6" w:rsidRPr="00932F72" w14:paraId="462947C8" w14:textId="77777777" w:rsidTr="00A269D0">
        <w:tc>
          <w:tcPr>
            <w:tcW w:w="2499" w:type="pct"/>
          </w:tcPr>
          <w:p w14:paraId="6923381A" w14:textId="66B391A9" w:rsidR="008164C6" w:rsidRDefault="008164C6" w:rsidP="008D08E0">
            <w:pPr>
              <w:rPr>
                <w:rFonts w:cs="Arial"/>
                <w:sz w:val="20"/>
                <w:lang w:val="en-AU"/>
              </w:rPr>
            </w:pPr>
            <w:r>
              <w:rPr>
                <w:rFonts w:cs="Arial"/>
                <w:sz w:val="20"/>
                <w:lang w:val="en-AU"/>
              </w:rPr>
              <w:t xml:space="preserve">(p) The composition of infant formula products for special dietary uses should be based on appropriate scientific evidence. </w:t>
            </w:r>
          </w:p>
        </w:tc>
        <w:tc>
          <w:tcPr>
            <w:tcW w:w="2501" w:type="pct"/>
          </w:tcPr>
          <w:p w14:paraId="3EFBFD58" w14:textId="77777777" w:rsidR="007637D5" w:rsidRDefault="007637D5" w:rsidP="003001A8">
            <w:pPr>
              <w:spacing w:after="120"/>
              <w:rPr>
                <w:rFonts w:cs="Arial"/>
                <w:sz w:val="20"/>
                <w:lang w:val="en-AU"/>
              </w:rPr>
            </w:pPr>
            <w:r>
              <w:rPr>
                <w:rFonts w:cs="Arial"/>
                <w:sz w:val="20"/>
                <w:lang w:val="en-AU"/>
              </w:rPr>
              <w:t xml:space="preserve">FSANZ has used the best available scientific evidence to assess the application. </w:t>
            </w:r>
          </w:p>
          <w:p w14:paraId="072C363C" w14:textId="2B2CA872" w:rsidR="008164C6" w:rsidRDefault="00B17675" w:rsidP="003001A8">
            <w:pPr>
              <w:spacing w:after="120"/>
              <w:rPr>
                <w:sz w:val="20"/>
                <w:szCs w:val="20"/>
                <w:lang w:bidi="ar-SA"/>
              </w:rPr>
            </w:pPr>
            <w:r>
              <w:rPr>
                <w:rFonts w:cs="Arial"/>
                <w:sz w:val="20"/>
                <w:lang w:val="en-AU"/>
              </w:rPr>
              <w:t xml:space="preserve">The </w:t>
            </w:r>
            <w:r w:rsidR="007637D5">
              <w:rPr>
                <w:rFonts w:cs="Arial"/>
                <w:sz w:val="20"/>
                <w:lang w:val="en-AU"/>
              </w:rPr>
              <w:t xml:space="preserve">Code </w:t>
            </w:r>
            <w:r>
              <w:rPr>
                <w:rFonts w:cs="Arial"/>
                <w:sz w:val="20"/>
                <w:lang w:val="en-AU"/>
              </w:rPr>
              <w:t>requirements for infant formula products for special dietary use (IFSDU) provide a flexible approach</w:t>
            </w:r>
            <w:r w:rsidR="007637D5">
              <w:rPr>
                <w:rFonts w:cs="Arial"/>
                <w:sz w:val="20"/>
                <w:lang w:val="en-AU"/>
              </w:rPr>
              <w:t>,</w:t>
            </w:r>
            <w:r>
              <w:rPr>
                <w:rFonts w:cs="Arial"/>
                <w:sz w:val="20"/>
                <w:lang w:val="en-AU"/>
              </w:rPr>
              <w:t xml:space="preserve"> based on the composition of infant formula</w:t>
            </w:r>
            <w:r w:rsidR="007637D5">
              <w:rPr>
                <w:rFonts w:cs="Arial"/>
                <w:sz w:val="20"/>
                <w:lang w:val="en-AU"/>
              </w:rPr>
              <w:t>, to allow products formulated for particular conditions</w:t>
            </w:r>
            <w:r>
              <w:rPr>
                <w:rFonts w:cs="Arial"/>
                <w:sz w:val="20"/>
                <w:lang w:val="en-AU"/>
              </w:rPr>
              <w:t>.</w:t>
            </w:r>
            <w:r w:rsidR="007637D5">
              <w:rPr>
                <w:rFonts w:cs="Arial"/>
                <w:sz w:val="20"/>
                <w:lang w:val="en-AU"/>
              </w:rPr>
              <w:t xml:space="preserve"> Care is taken by f</w:t>
            </w:r>
            <w:r>
              <w:rPr>
                <w:rFonts w:cs="Arial"/>
                <w:sz w:val="20"/>
                <w:lang w:val="en-AU"/>
              </w:rPr>
              <w:t xml:space="preserve">ood businesses </w:t>
            </w:r>
            <w:r w:rsidR="007637D5">
              <w:rPr>
                <w:rFonts w:cs="Arial"/>
                <w:sz w:val="20"/>
                <w:lang w:val="en-AU"/>
              </w:rPr>
              <w:t>to formulate products for specific</w:t>
            </w:r>
            <w:r>
              <w:rPr>
                <w:rFonts w:cs="Arial"/>
                <w:sz w:val="20"/>
                <w:lang w:val="en-AU"/>
              </w:rPr>
              <w:t xml:space="preserve"> </w:t>
            </w:r>
            <w:r w:rsidR="00113A1C">
              <w:rPr>
                <w:rFonts w:cs="Arial"/>
                <w:sz w:val="20"/>
                <w:lang w:val="en-AU"/>
              </w:rPr>
              <w:t>dietary uses</w:t>
            </w:r>
            <w:r>
              <w:rPr>
                <w:rFonts w:cs="Arial"/>
                <w:sz w:val="20"/>
                <w:lang w:val="en-AU"/>
              </w:rPr>
              <w:t>.</w:t>
            </w:r>
            <w:r w:rsidR="007637D5">
              <w:rPr>
                <w:rFonts w:cs="Arial"/>
                <w:sz w:val="20"/>
                <w:lang w:val="en-AU"/>
              </w:rPr>
              <w:t xml:space="preserve"> </w:t>
            </w:r>
          </w:p>
        </w:tc>
      </w:tr>
      <w:tr w:rsidR="008164C6" w:rsidRPr="00932F72" w14:paraId="22CB6AD2" w14:textId="77777777" w:rsidTr="00A269D0">
        <w:tc>
          <w:tcPr>
            <w:tcW w:w="2499" w:type="pct"/>
          </w:tcPr>
          <w:p w14:paraId="0AB3A91E" w14:textId="34816E49" w:rsidR="008164C6" w:rsidRDefault="008164C6" w:rsidP="008D08E0">
            <w:pPr>
              <w:rPr>
                <w:rFonts w:cs="Arial"/>
                <w:sz w:val="20"/>
                <w:lang w:val="en-AU"/>
              </w:rPr>
            </w:pPr>
            <w:r>
              <w:rPr>
                <w:rFonts w:cs="Arial"/>
                <w:sz w:val="20"/>
                <w:lang w:val="en-AU"/>
              </w:rPr>
              <w:t xml:space="preserve">(q) The labelling and advertising of infant formula products for special dietary uses should clearly specify the special dietary or medical uses for which the product is intended. </w:t>
            </w:r>
          </w:p>
        </w:tc>
        <w:tc>
          <w:tcPr>
            <w:tcW w:w="2501" w:type="pct"/>
            <w:tcBorders>
              <w:bottom w:val="single" w:sz="4" w:space="0" w:color="auto"/>
            </w:tcBorders>
          </w:tcPr>
          <w:p w14:paraId="224D7FC2" w14:textId="77777777" w:rsidR="008164C6" w:rsidRDefault="008C5470" w:rsidP="003001A8">
            <w:pPr>
              <w:spacing w:after="120"/>
              <w:rPr>
                <w:rFonts w:cs="Arial"/>
                <w:sz w:val="20"/>
                <w:lang w:val="en-AU"/>
              </w:rPr>
            </w:pPr>
            <w:r w:rsidRPr="00D836AD">
              <w:rPr>
                <w:rFonts w:cs="Arial"/>
                <w:sz w:val="20"/>
                <w:lang w:val="en-AU"/>
              </w:rPr>
              <w:t>Existing l</w:t>
            </w:r>
            <w:r w:rsidR="008164C6" w:rsidRPr="00D836AD">
              <w:rPr>
                <w:rFonts w:cs="Arial"/>
                <w:sz w:val="20"/>
                <w:lang w:val="en-AU"/>
              </w:rPr>
              <w:t xml:space="preserve">abelling requirements specific to </w:t>
            </w:r>
            <w:r w:rsidR="00113A1C">
              <w:rPr>
                <w:rFonts w:cs="Arial"/>
                <w:sz w:val="20"/>
                <w:lang w:val="en-AU"/>
              </w:rPr>
              <w:t>IFSDU</w:t>
            </w:r>
            <w:r w:rsidR="007311A6" w:rsidRPr="00D836AD">
              <w:rPr>
                <w:rFonts w:cs="Arial"/>
                <w:sz w:val="20"/>
                <w:lang w:val="en-AU"/>
              </w:rPr>
              <w:t xml:space="preserve"> </w:t>
            </w:r>
            <w:r w:rsidR="004423F2" w:rsidRPr="00D836AD">
              <w:rPr>
                <w:rFonts w:cs="Arial"/>
                <w:sz w:val="20"/>
                <w:lang w:val="en-AU"/>
              </w:rPr>
              <w:t xml:space="preserve">would </w:t>
            </w:r>
            <w:r w:rsidR="008164C6" w:rsidRPr="00D836AD">
              <w:rPr>
                <w:rFonts w:cs="Arial"/>
                <w:sz w:val="20"/>
                <w:lang w:val="en-AU"/>
              </w:rPr>
              <w:t>apply</w:t>
            </w:r>
            <w:r w:rsidRPr="00D836AD">
              <w:rPr>
                <w:rFonts w:cs="Arial"/>
                <w:sz w:val="20"/>
                <w:lang w:val="en-AU"/>
              </w:rPr>
              <w:t xml:space="preserve"> wh</w:t>
            </w:r>
            <w:r w:rsidR="004423F2" w:rsidRPr="00D836AD">
              <w:rPr>
                <w:rFonts w:cs="Arial"/>
                <w:sz w:val="20"/>
                <w:lang w:val="en-AU"/>
              </w:rPr>
              <w:t>ere</w:t>
            </w:r>
            <w:r w:rsidRPr="00D836AD">
              <w:rPr>
                <w:rFonts w:cs="Arial"/>
                <w:sz w:val="20"/>
                <w:lang w:val="en-AU"/>
              </w:rPr>
              <w:t xml:space="preserve"> products formulated for certain conditions </w:t>
            </w:r>
            <w:r w:rsidR="007517BF" w:rsidRPr="00D836AD">
              <w:rPr>
                <w:rFonts w:cs="Arial"/>
                <w:sz w:val="20"/>
                <w:lang w:val="en-AU"/>
              </w:rPr>
              <w:t xml:space="preserve">are required </w:t>
            </w:r>
            <w:r w:rsidRPr="00D836AD">
              <w:rPr>
                <w:rFonts w:cs="Arial"/>
                <w:sz w:val="20"/>
                <w:lang w:val="en-AU"/>
              </w:rPr>
              <w:t>to state the condition, disease or disorder for which the product has been formulated (sections 2.9.1</w:t>
            </w:r>
            <w:r w:rsidRPr="00D836AD">
              <w:rPr>
                <w:sz w:val="20"/>
                <w:szCs w:val="20"/>
              </w:rPr>
              <w:t xml:space="preserve">—13 and </w:t>
            </w:r>
            <w:r w:rsidRPr="00D836AD">
              <w:rPr>
                <w:rFonts w:cs="Arial"/>
                <w:sz w:val="20"/>
                <w:lang w:val="en-AU"/>
              </w:rPr>
              <w:t>2.9.1</w:t>
            </w:r>
            <w:r w:rsidRPr="00D836AD">
              <w:rPr>
                <w:sz w:val="20"/>
                <w:szCs w:val="20"/>
              </w:rPr>
              <w:t>—14</w:t>
            </w:r>
            <w:r w:rsidR="006663F6" w:rsidRPr="00D836AD">
              <w:rPr>
                <w:sz w:val="20"/>
                <w:szCs w:val="20"/>
              </w:rPr>
              <w:t xml:space="preserve"> of the Code</w:t>
            </w:r>
            <w:r w:rsidRPr="00D836AD">
              <w:rPr>
                <w:sz w:val="20"/>
                <w:szCs w:val="20"/>
              </w:rPr>
              <w:t>)</w:t>
            </w:r>
            <w:r w:rsidR="008164C6" w:rsidRPr="00D836AD">
              <w:rPr>
                <w:rFonts w:cs="Arial"/>
                <w:sz w:val="20"/>
                <w:lang w:val="en-AU"/>
              </w:rPr>
              <w:t>.</w:t>
            </w:r>
            <w:r w:rsidRPr="00D836AD">
              <w:rPr>
                <w:rFonts w:cs="Arial"/>
                <w:sz w:val="20"/>
                <w:lang w:val="en-AU"/>
              </w:rPr>
              <w:t xml:space="preserve"> No changes are proposed to these requirements.</w:t>
            </w:r>
          </w:p>
          <w:p w14:paraId="06DAD07B" w14:textId="77777777" w:rsidR="009F25D2" w:rsidRDefault="009F25D2" w:rsidP="003001A8">
            <w:pPr>
              <w:spacing w:after="120"/>
              <w:rPr>
                <w:rFonts w:cs="Arial"/>
                <w:sz w:val="20"/>
                <w:lang w:val="en-AU"/>
              </w:rPr>
            </w:pPr>
          </w:p>
          <w:p w14:paraId="296BACA8" w14:textId="6C72B01A" w:rsidR="009F25D2" w:rsidRDefault="009F25D2" w:rsidP="003001A8">
            <w:pPr>
              <w:spacing w:after="120"/>
              <w:rPr>
                <w:sz w:val="20"/>
                <w:szCs w:val="20"/>
                <w:lang w:bidi="ar-SA"/>
              </w:rPr>
            </w:pPr>
          </w:p>
        </w:tc>
      </w:tr>
      <w:tr w:rsidR="00817977" w:rsidRPr="00473DC7" w14:paraId="3FD0B527" w14:textId="77777777" w:rsidTr="00A269D0">
        <w:tc>
          <w:tcPr>
            <w:tcW w:w="2499" w:type="pct"/>
            <w:tcBorders>
              <w:right w:val="nil"/>
            </w:tcBorders>
          </w:tcPr>
          <w:p w14:paraId="16E88F09" w14:textId="77777777" w:rsidR="00817977" w:rsidRPr="00473DC7" w:rsidRDefault="00817977" w:rsidP="008D08E0">
            <w:pPr>
              <w:rPr>
                <w:rFonts w:cs="Arial"/>
                <w:b/>
                <w:i/>
                <w:sz w:val="20"/>
                <w:lang w:val="en-AU"/>
              </w:rPr>
            </w:pPr>
            <w:r w:rsidRPr="00473DC7">
              <w:rPr>
                <w:rFonts w:cs="Arial"/>
                <w:b/>
                <w:i/>
                <w:sz w:val="20"/>
                <w:lang w:val="en-AU"/>
              </w:rPr>
              <w:lastRenderedPageBreak/>
              <w:t>Expert Group</w:t>
            </w:r>
          </w:p>
        </w:tc>
        <w:tc>
          <w:tcPr>
            <w:tcW w:w="2501" w:type="pct"/>
            <w:tcBorders>
              <w:top w:val="single" w:sz="4" w:space="0" w:color="auto"/>
              <w:left w:val="nil"/>
              <w:bottom w:val="single" w:sz="4" w:space="0" w:color="auto"/>
              <w:right w:val="single" w:sz="4" w:space="0" w:color="auto"/>
            </w:tcBorders>
          </w:tcPr>
          <w:p w14:paraId="54B85CE6" w14:textId="1C2D74DA" w:rsidR="00817977" w:rsidRPr="00473DC7" w:rsidRDefault="00817977" w:rsidP="003001A8">
            <w:pPr>
              <w:spacing w:after="120"/>
              <w:rPr>
                <w:rFonts w:cs="Arial"/>
                <w:b/>
                <w:i/>
                <w:sz w:val="20"/>
                <w:lang w:val="en-AU"/>
              </w:rPr>
            </w:pPr>
          </w:p>
        </w:tc>
      </w:tr>
      <w:tr w:rsidR="00185417" w:rsidRPr="00932F72" w14:paraId="3A74FBF1" w14:textId="77777777" w:rsidTr="00A269D0">
        <w:tc>
          <w:tcPr>
            <w:tcW w:w="2499" w:type="pct"/>
          </w:tcPr>
          <w:p w14:paraId="5652AEDB" w14:textId="77777777" w:rsidR="00185417" w:rsidRDefault="00185417" w:rsidP="008D08E0">
            <w:pPr>
              <w:rPr>
                <w:rFonts w:cs="Arial"/>
                <w:sz w:val="20"/>
                <w:lang w:val="en-AU"/>
              </w:rPr>
            </w:pPr>
            <w:r>
              <w:rPr>
                <w:rFonts w:cs="Arial"/>
                <w:sz w:val="20"/>
                <w:lang w:val="en-AU"/>
              </w:rPr>
              <w:t>FSANZ should consider establishing an independent scientific expert group that may provide advise prior to pre-market assessment, based on scientific criteria established by the Authority, on whether:</w:t>
            </w:r>
          </w:p>
          <w:p w14:paraId="3D0AECF0" w14:textId="77777777" w:rsidR="00185417" w:rsidRDefault="00185417" w:rsidP="008D08E0">
            <w:pPr>
              <w:pStyle w:val="ListParagraph"/>
              <w:numPr>
                <w:ilvl w:val="0"/>
                <w:numId w:val="14"/>
              </w:numPr>
              <w:contextualSpacing w:val="0"/>
              <w:rPr>
                <w:rFonts w:cs="Arial"/>
                <w:sz w:val="20"/>
                <w:lang w:val="en-AU"/>
              </w:rPr>
            </w:pPr>
            <w:r>
              <w:rPr>
                <w:rFonts w:cs="Arial"/>
                <w:sz w:val="20"/>
                <w:lang w:val="en-AU"/>
              </w:rPr>
              <w:t>a substance proposed to be added to infant formula products has a history of safe use in infant formula or follow-on formula in Australia and New Zealand; and</w:t>
            </w:r>
          </w:p>
          <w:p w14:paraId="5E68D270" w14:textId="77777777" w:rsidR="00185417" w:rsidRPr="00473DC7" w:rsidRDefault="00185417" w:rsidP="008D08E0">
            <w:pPr>
              <w:pStyle w:val="ListParagraph"/>
              <w:numPr>
                <w:ilvl w:val="0"/>
                <w:numId w:val="14"/>
              </w:numPr>
              <w:contextualSpacing w:val="0"/>
              <w:rPr>
                <w:rFonts w:cs="Arial"/>
                <w:sz w:val="20"/>
                <w:lang w:val="en-AU"/>
              </w:rPr>
            </w:pPr>
            <w:r>
              <w:rPr>
                <w:rFonts w:cs="Arial"/>
                <w:sz w:val="20"/>
                <w:lang w:val="en-AU"/>
              </w:rPr>
              <w:t>there is evidence available that the substance has a substantiated beneficial role in the normal growth and development of infants or children.</w:t>
            </w:r>
          </w:p>
        </w:tc>
        <w:tc>
          <w:tcPr>
            <w:tcW w:w="2501" w:type="pct"/>
            <w:tcBorders>
              <w:top w:val="single" w:sz="4" w:space="0" w:color="auto"/>
              <w:bottom w:val="single" w:sz="4" w:space="0" w:color="auto"/>
            </w:tcBorders>
          </w:tcPr>
          <w:p w14:paraId="352EB245" w14:textId="26047FC1" w:rsidR="00185417" w:rsidRDefault="00185417" w:rsidP="009F25D2">
            <w:pPr>
              <w:widowControl/>
              <w:spacing w:after="120"/>
              <w:rPr>
                <w:rFonts w:cs="Arial"/>
                <w:sz w:val="20"/>
                <w:lang w:val="en-AU"/>
              </w:rPr>
            </w:pPr>
            <w:r>
              <w:rPr>
                <w:rFonts w:cs="Arial"/>
                <w:sz w:val="20"/>
                <w:lang w:val="en-AU"/>
              </w:rPr>
              <w:t>FSANZ considers that an independent group is not necessary for our assessment of this application, noting that we have assessed the application using a risk analysis approach</w:t>
            </w:r>
            <w:r w:rsidR="0087524E">
              <w:rPr>
                <w:rFonts w:cs="Arial"/>
                <w:sz w:val="20"/>
                <w:lang w:val="en-AU"/>
              </w:rPr>
              <w:t xml:space="preserve"> and applied particular caution</w:t>
            </w:r>
            <w:r>
              <w:rPr>
                <w:rFonts w:cs="Arial"/>
                <w:sz w:val="20"/>
                <w:lang w:val="en-AU"/>
              </w:rPr>
              <w:t xml:space="preserve">. </w:t>
            </w:r>
          </w:p>
          <w:p w14:paraId="41F890E4" w14:textId="35A65F2A" w:rsidR="00185417" w:rsidRDefault="00185417" w:rsidP="003001A8">
            <w:pPr>
              <w:spacing w:after="120"/>
              <w:rPr>
                <w:rFonts w:cs="Arial"/>
                <w:sz w:val="20"/>
                <w:lang w:val="en-AU"/>
              </w:rPr>
            </w:pPr>
            <w:r>
              <w:rPr>
                <w:rFonts w:cs="Arial"/>
                <w:sz w:val="20"/>
                <w:lang w:val="en-AU"/>
              </w:rPr>
              <w:t xml:space="preserve">See comments to specific policy principle (i) above. </w:t>
            </w:r>
          </w:p>
          <w:p w14:paraId="73DFB6F3" w14:textId="77777777" w:rsidR="00185417" w:rsidRDefault="00185417" w:rsidP="003001A8">
            <w:pPr>
              <w:spacing w:after="120"/>
              <w:rPr>
                <w:rFonts w:cs="Arial"/>
                <w:sz w:val="20"/>
                <w:lang w:val="en-AU"/>
              </w:rPr>
            </w:pPr>
          </w:p>
          <w:p w14:paraId="5529AA3E" w14:textId="3E171755" w:rsidR="000A4E7E" w:rsidRPr="00F86EEB" w:rsidRDefault="000A4E7E" w:rsidP="003001A8">
            <w:pPr>
              <w:spacing w:after="120"/>
              <w:rPr>
                <w:rFonts w:cs="Arial"/>
                <w:sz w:val="20"/>
                <w:lang w:val="en-AU"/>
              </w:rPr>
            </w:pPr>
            <w:r>
              <w:rPr>
                <w:rFonts w:cs="Arial"/>
                <w:sz w:val="20"/>
                <w:lang w:val="en-AU"/>
              </w:rPr>
              <w:t>See comments to specific policy principle (j) above.</w:t>
            </w:r>
          </w:p>
        </w:tc>
      </w:tr>
      <w:tr w:rsidR="00817977" w:rsidRPr="00932F72" w14:paraId="55259748" w14:textId="77777777" w:rsidTr="00485929">
        <w:tc>
          <w:tcPr>
            <w:tcW w:w="2499" w:type="pct"/>
            <w:tcBorders>
              <w:bottom w:val="single" w:sz="4" w:space="0" w:color="auto"/>
              <w:right w:val="nil"/>
            </w:tcBorders>
          </w:tcPr>
          <w:p w14:paraId="68A18DAC" w14:textId="77777777" w:rsidR="00817977" w:rsidRPr="00F86EEB" w:rsidRDefault="00817977" w:rsidP="008D08E0">
            <w:pPr>
              <w:keepNext/>
              <w:keepLines/>
              <w:ind w:right="-6992"/>
              <w:rPr>
                <w:rFonts w:cs="Arial"/>
                <w:sz w:val="20"/>
                <w:lang w:val="en-AU"/>
              </w:rPr>
            </w:pPr>
            <w:r w:rsidRPr="00F86EEB">
              <w:rPr>
                <w:rFonts w:cs="Arial"/>
                <w:b/>
                <w:i/>
                <w:iCs/>
                <w:sz w:val="20"/>
                <w:lang w:val="en-AU"/>
              </w:rPr>
              <w:t>Relevant international agreements</w:t>
            </w:r>
          </w:p>
        </w:tc>
        <w:tc>
          <w:tcPr>
            <w:tcW w:w="2501" w:type="pct"/>
            <w:tcBorders>
              <w:top w:val="single" w:sz="4" w:space="0" w:color="auto"/>
              <w:left w:val="nil"/>
              <w:bottom w:val="single" w:sz="4" w:space="0" w:color="auto"/>
              <w:right w:val="single" w:sz="4" w:space="0" w:color="auto"/>
            </w:tcBorders>
          </w:tcPr>
          <w:p w14:paraId="738F2259" w14:textId="45299E0F" w:rsidR="00817977" w:rsidRPr="00F86EEB" w:rsidRDefault="00817977" w:rsidP="003001A8">
            <w:pPr>
              <w:keepNext/>
              <w:keepLines/>
              <w:spacing w:after="120"/>
              <w:ind w:right="-6992"/>
              <w:rPr>
                <w:rFonts w:cs="Arial"/>
                <w:sz w:val="20"/>
                <w:lang w:val="en-AU"/>
              </w:rPr>
            </w:pPr>
          </w:p>
        </w:tc>
      </w:tr>
      <w:tr w:rsidR="000354E8" w:rsidRPr="00932F72" w14:paraId="6640F9AF" w14:textId="77777777" w:rsidTr="00485929">
        <w:tc>
          <w:tcPr>
            <w:tcW w:w="2499" w:type="pct"/>
            <w:tcBorders>
              <w:top w:val="single" w:sz="4" w:space="0" w:color="auto"/>
            </w:tcBorders>
          </w:tcPr>
          <w:p w14:paraId="65B7A46F" w14:textId="77777777" w:rsidR="000354E8" w:rsidRPr="00531B96" w:rsidRDefault="000354E8" w:rsidP="008D08E0">
            <w:pPr>
              <w:keepNext/>
              <w:keepLines/>
              <w:autoSpaceDE w:val="0"/>
              <w:autoSpaceDN w:val="0"/>
              <w:adjustRightInd w:val="0"/>
              <w:rPr>
                <w:rFonts w:cs="Arial"/>
                <w:sz w:val="20"/>
                <w:lang w:val="en-AU"/>
              </w:rPr>
            </w:pPr>
            <w:r w:rsidRPr="00531B96">
              <w:rPr>
                <w:rFonts w:cs="Arial"/>
                <w:sz w:val="20"/>
                <w:lang w:val="en-AU"/>
              </w:rPr>
              <w:t>The regulation of infant formula products in Australia and New Zealand should be consistent</w:t>
            </w:r>
          </w:p>
          <w:p w14:paraId="512C2BD0" w14:textId="77777777" w:rsidR="000354E8" w:rsidRPr="00531B96" w:rsidRDefault="000354E8" w:rsidP="008D08E0">
            <w:pPr>
              <w:keepNext/>
              <w:keepLines/>
              <w:autoSpaceDE w:val="0"/>
              <w:autoSpaceDN w:val="0"/>
              <w:adjustRightInd w:val="0"/>
              <w:rPr>
                <w:rFonts w:cs="Arial"/>
                <w:sz w:val="20"/>
                <w:lang w:val="en-AU"/>
              </w:rPr>
            </w:pPr>
            <w:r w:rsidRPr="00531B96">
              <w:rPr>
                <w:rFonts w:cs="Arial"/>
                <w:sz w:val="20"/>
                <w:lang w:val="en-AU"/>
              </w:rPr>
              <w:t>to the greatest extent possible with:</w:t>
            </w:r>
          </w:p>
          <w:p w14:paraId="26999D36" w14:textId="77777777" w:rsidR="000354E8" w:rsidRPr="00531B96" w:rsidRDefault="000354E8" w:rsidP="008D08E0">
            <w:pPr>
              <w:pStyle w:val="ListParagraph"/>
              <w:keepNext/>
              <w:keepLines/>
              <w:numPr>
                <w:ilvl w:val="0"/>
                <w:numId w:val="7"/>
              </w:numPr>
              <w:autoSpaceDE w:val="0"/>
              <w:autoSpaceDN w:val="0"/>
              <w:adjustRightInd w:val="0"/>
              <w:contextualSpacing w:val="0"/>
              <w:rPr>
                <w:rFonts w:cs="Arial"/>
                <w:sz w:val="20"/>
                <w:lang w:val="en-AU"/>
              </w:rPr>
            </w:pPr>
            <w:r w:rsidRPr="00531B96">
              <w:rPr>
                <w:rFonts w:cs="Arial"/>
                <w:sz w:val="20"/>
                <w:lang w:val="en-AU"/>
              </w:rPr>
              <w:t>relevant World Health Organization agreements; and</w:t>
            </w:r>
          </w:p>
          <w:p w14:paraId="020DD70C" w14:textId="6E30E181" w:rsidR="000354E8" w:rsidRPr="00F86EEB" w:rsidRDefault="000354E8" w:rsidP="008D08E0">
            <w:pPr>
              <w:pStyle w:val="ListParagraph"/>
              <w:keepNext/>
              <w:keepLines/>
              <w:numPr>
                <w:ilvl w:val="0"/>
                <w:numId w:val="7"/>
              </w:numPr>
              <w:contextualSpacing w:val="0"/>
              <w:rPr>
                <w:rFonts w:cs="Arial"/>
                <w:b/>
                <w:i/>
                <w:iCs/>
                <w:sz w:val="20"/>
                <w:lang w:val="en-AU"/>
              </w:rPr>
            </w:pPr>
            <w:r w:rsidRPr="00531B96">
              <w:rPr>
                <w:rFonts w:cs="Arial"/>
                <w:sz w:val="20"/>
                <w:lang w:val="en-AU"/>
              </w:rPr>
              <w:t>relevant World Trade Organization agreements, Codex standards and guidelines</w:t>
            </w:r>
          </w:p>
        </w:tc>
        <w:tc>
          <w:tcPr>
            <w:tcW w:w="2501" w:type="pct"/>
            <w:tcBorders>
              <w:top w:val="single" w:sz="4" w:space="0" w:color="auto"/>
            </w:tcBorders>
          </w:tcPr>
          <w:p w14:paraId="30DCF3CA" w14:textId="5C706C8F" w:rsidR="000354E8" w:rsidRDefault="000354E8" w:rsidP="003001A8">
            <w:pPr>
              <w:keepNext/>
              <w:keepLines/>
              <w:spacing w:after="120"/>
              <w:rPr>
                <w:rFonts w:cs="Arial"/>
                <w:sz w:val="20"/>
                <w:lang w:val="en-AU"/>
              </w:rPr>
            </w:pPr>
            <w:r w:rsidRPr="00F86EEB">
              <w:rPr>
                <w:sz w:val="20"/>
                <w:lang w:val="en-AU"/>
              </w:rPr>
              <w:t xml:space="preserve">FSANZ has taken account of the </w:t>
            </w:r>
            <w:r w:rsidRPr="00D76303">
              <w:rPr>
                <w:sz w:val="20"/>
                <w:lang w:val="en-AU"/>
              </w:rPr>
              <w:t>relevant agreements</w:t>
            </w:r>
            <w:r w:rsidR="002719AA" w:rsidRPr="00D76303">
              <w:rPr>
                <w:sz w:val="20"/>
                <w:lang w:val="en-AU"/>
              </w:rPr>
              <w:t xml:space="preserve"> and</w:t>
            </w:r>
            <w:r w:rsidRPr="00D76303">
              <w:rPr>
                <w:sz w:val="20"/>
                <w:lang w:val="en-AU"/>
              </w:rPr>
              <w:t xml:space="preserve"> Codex standards and guidelines. </w:t>
            </w:r>
            <w:r w:rsidR="00923E43">
              <w:rPr>
                <w:sz w:val="20"/>
                <w:lang w:val="en-AU"/>
              </w:rPr>
              <w:t xml:space="preserve">The applicant’s </w:t>
            </w:r>
            <w:r w:rsidRPr="00D76303">
              <w:rPr>
                <w:rFonts w:cs="Arial"/>
                <w:sz w:val="20"/>
                <w:lang w:val="en-AU"/>
              </w:rPr>
              <w:t>2</w:t>
            </w:r>
            <w:r w:rsidR="005D4C6E">
              <w:rPr>
                <w:rFonts w:cs="Arial"/>
                <w:sz w:val="20"/>
                <w:lang w:val="en-AU"/>
              </w:rPr>
              <w:t>′</w:t>
            </w:r>
            <w:r w:rsidR="006C64F7">
              <w:rPr>
                <w:rFonts w:cs="Arial"/>
                <w:sz w:val="20"/>
                <w:lang w:val="en-AU"/>
              </w:rPr>
              <w:t>-FL and LNnT</w:t>
            </w:r>
            <w:r w:rsidRPr="00F86EEB">
              <w:rPr>
                <w:rFonts w:cs="Arial"/>
                <w:sz w:val="20"/>
                <w:lang w:val="en-AU"/>
              </w:rPr>
              <w:t xml:space="preserve"> </w:t>
            </w:r>
            <w:r w:rsidR="002719AA">
              <w:rPr>
                <w:rFonts w:cs="Arial"/>
                <w:sz w:val="20"/>
                <w:lang w:val="en-AU"/>
              </w:rPr>
              <w:t>are</w:t>
            </w:r>
            <w:r w:rsidRPr="00F86EEB">
              <w:rPr>
                <w:rFonts w:cs="Arial"/>
                <w:sz w:val="20"/>
                <w:lang w:val="en-AU"/>
              </w:rPr>
              <w:t xml:space="preserve"> permitted and used in infant formula products sold overseas.</w:t>
            </w:r>
          </w:p>
          <w:p w14:paraId="67FFA493" w14:textId="7A86E9A3" w:rsidR="0087524E" w:rsidRPr="00F86EEB" w:rsidRDefault="0087524E" w:rsidP="00F34CB8">
            <w:pPr>
              <w:keepNext/>
              <w:keepLines/>
              <w:spacing w:after="120"/>
              <w:rPr>
                <w:rFonts w:cs="Arial"/>
                <w:sz w:val="20"/>
                <w:lang w:val="en-AU"/>
              </w:rPr>
            </w:pPr>
            <w:r>
              <w:rPr>
                <w:rFonts w:cs="Arial"/>
                <w:sz w:val="20"/>
                <w:szCs w:val="20"/>
              </w:rPr>
              <w:t xml:space="preserve">The proposed addition supports international consistency and </w:t>
            </w:r>
            <w:r w:rsidR="00F34CB8">
              <w:rPr>
                <w:rFonts w:cs="Arial"/>
                <w:sz w:val="20"/>
                <w:szCs w:val="20"/>
              </w:rPr>
              <w:t>a competitive food industry</w:t>
            </w:r>
            <w:r>
              <w:rPr>
                <w:rFonts w:cs="Arial"/>
                <w:sz w:val="20"/>
                <w:szCs w:val="20"/>
              </w:rPr>
              <w:t xml:space="preserve"> (in accordance with high order policy principles 2</w:t>
            </w:r>
            <w:r w:rsidR="00F34CB8">
              <w:rPr>
                <w:rFonts w:cs="Arial"/>
                <w:sz w:val="20"/>
                <w:szCs w:val="20"/>
              </w:rPr>
              <w:t>(</w:t>
            </w:r>
            <w:r>
              <w:rPr>
                <w:rFonts w:cs="Arial"/>
                <w:sz w:val="20"/>
                <w:szCs w:val="20"/>
              </w:rPr>
              <w:t>b</w:t>
            </w:r>
            <w:r w:rsidR="00F34CB8">
              <w:rPr>
                <w:rFonts w:cs="Arial"/>
                <w:sz w:val="20"/>
                <w:szCs w:val="20"/>
              </w:rPr>
              <w:t>)</w:t>
            </w:r>
            <w:r>
              <w:rPr>
                <w:rFonts w:cs="Arial"/>
                <w:sz w:val="20"/>
                <w:szCs w:val="20"/>
              </w:rPr>
              <w:t xml:space="preserve"> and </w:t>
            </w:r>
            <w:r w:rsidR="00F34CB8">
              <w:rPr>
                <w:rFonts w:cs="Arial"/>
                <w:sz w:val="20"/>
                <w:szCs w:val="20"/>
              </w:rPr>
              <w:t>(</w:t>
            </w:r>
            <w:r>
              <w:rPr>
                <w:rFonts w:cs="Arial"/>
                <w:sz w:val="20"/>
                <w:szCs w:val="20"/>
              </w:rPr>
              <w:t>c)</w:t>
            </w:r>
            <w:r w:rsidR="00F34CB8">
              <w:rPr>
                <w:rFonts w:cs="Arial"/>
                <w:sz w:val="20"/>
                <w:szCs w:val="20"/>
              </w:rPr>
              <w:t>), providing trade opportunities</w:t>
            </w:r>
            <w:r w:rsidR="00522B1F">
              <w:rPr>
                <w:rFonts w:cs="Arial"/>
                <w:sz w:val="20"/>
                <w:szCs w:val="20"/>
              </w:rPr>
              <w:t xml:space="preserve"> (see section 2.5.1.1 of the 2</w:t>
            </w:r>
            <w:r w:rsidR="00522B1F" w:rsidRPr="00522B1F">
              <w:rPr>
                <w:rFonts w:cs="Arial"/>
                <w:sz w:val="20"/>
                <w:szCs w:val="20"/>
                <w:vertAlign w:val="superscript"/>
              </w:rPr>
              <w:t>nd</w:t>
            </w:r>
            <w:r w:rsidR="00522B1F">
              <w:rPr>
                <w:rFonts w:cs="Arial"/>
                <w:sz w:val="20"/>
                <w:szCs w:val="20"/>
              </w:rPr>
              <w:t xml:space="preserve"> CFS report). </w:t>
            </w:r>
          </w:p>
        </w:tc>
      </w:tr>
    </w:tbl>
    <w:p w14:paraId="30C68144" w14:textId="6436A3BB" w:rsidR="000A1AF4" w:rsidRDefault="00EB46DC" w:rsidP="00F86EEB">
      <w:pPr>
        <w:pStyle w:val="Heading1"/>
      </w:pPr>
      <w:r>
        <w:t>2</w:t>
      </w:r>
      <w:r>
        <w:tab/>
      </w:r>
      <w:r w:rsidR="000A1AF4">
        <w:t>Intent of Part 2.9 – Special Purpose Foods</w:t>
      </w:r>
    </w:p>
    <w:p w14:paraId="066383E0" w14:textId="09E5F51A" w:rsidR="00F73381" w:rsidRDefault="00F73381" w:rsidP="00F73381">
      <w:pPr>
        <w:rPr>
          <w:lang w:val="en-AU"/>
        </w:rPr>
      </w:pPr>
      <w:r w:rsidRPr="00932F72">
        <w:rPr>
          <w:lang w:val="en-AU"/>
        </w:rPr>
        <w:t xml:space="preserve">FSANZ has had regard to the </w:t>
      </w:r>
      <w:r w:rsidR="006F4E5E">
        <w:rPr>
          <w:lang w:val="en-AU"/>
        </w:rPr>
        <w:t>policy guideline</w:t>
      </w:r>
      <w:r w:rsidRPr="00932F72">
        <w:rPr>
          <w:lang w:val="en-AU"/>
        </w:rPr>
        <w:t xml:space="preserve"> on </w:t>
      </w:r>
      <w:r>
        <w:rPr>
          <w:lang w:val="en-AU"/>
        </w:rPr>
        <w:t>the Intent of Part 2.9 – Special Purpose Foods of the</w:t>
      </w:r>
      <w:r w:rsidR="00D836AD">
        <w:rPr>
          <w:lang w:val="en-AU"/>
        </w:rPr>
        <w:t xml:space="preserve"> Code</w:t>
      </w:r>
      <w:r>
        <w:rPr>
          <w:lang w:val="en-AU"/>
        </w:rPr>
        <w:t xml:space="preserve">. </w:t>
      </w:r>
      <w:r w:rsidRPr="00932F72">
        <w:rPr>
          <w:lang w:val="en-AU"/>
        </w:rPr>
        <w:t xml:space="preserve">The </w:t>
      </w:r>
      <w:r w:rsidR="006F4E5E">
        <w:rPr>
          <w:lang w:val="en-AU"/>
        </w:rPr>
        <w:t>policy g</w:t>
      </w:r>
      <w:r w:rsidRPr="00932F72">
        <w:rPr>
          <w:lang w:val="en-AU"/>
        </w:rPr>
        <w:t xml:space="preserve">uideline includes specific </w:t>
      </w:r>
      <w:r w:rsidR="00CB1CD3">
        <w:rPr>
          <w:lang w:val="en-AU"/>
        </w:rPr>
        <w:t xml:space="preserve">and high order </w:t>
      </w:r>
      <w:r w:rsidRPr="00932F72">
        <w:rPr>
          <w:lang w:val="en-AU"/>
        </w:rPr>
        <w:t xml:space="preserve">policy principles </w:t>
      </w:r>
      <w:r w:rsidR="006F4E5E">
        <w:rPr>
          <w:lang w:val="en-AU"/>
        </w:rPr>
        <w:t>for standards contained within Part 2.9 of the Code</w:t>
      </w:r>
      <w:r w:rsidRPr="00932F72">
        <w:rPr>
          <w:lang w:val="en-AU"/>
        </w:rPr>
        <w:t xml:space="preserve">. The table below summarises our assessment </w:t>
      </w:r>
      <w:r w:rsidR="006F4E5E">
        <w:rPr>
          <w:lang w:val="en-AU"/>
        </w:rPr>
        <w:t>against</w:t>
      </w:r>
      <w:r w:rsidRPr="00932F72">
        <w:rPr>
          <w:lang w:val="en-AU"/>
        </w:rPr>
        <w:t xml:space="preserve"> t</w:t>
      </w:r>
      <w:r>
        <w:rPr>
          <w:lang w:val="en-AU"/>
        </w:rPr>
        <w:t>he specific policy principles</w:t>
      </w:r>
      <w:r w:rsidR="006F4E5E">
        <w:rPr>
          <w:lang w:val="en-AU"/>
        </w:rPr>
        <w:t xml:space="preserve"> </w:t>
      </w:r>
      <w:r w:rsidR="00A82D70">
        <w:rPr>
          <w:lang w:val="en-AU"/>
        </w:rPr>
        <w:t>for</w:t>
      </w:r>
      <w:r w:rsidR="001B6430">
        <w:rPr>
          <w:lang w:val="en-AU"/>
        </w:rPr>
        <w:t xml:space="preserve"> the </w:t>
      </w:r>
      <w:r w:rsidR="00A82D70">
        <w:rPr>
          <w:lang w:val="en-AU"/>
        </w:rPr>
        <w:t xml:space="preserve">proposed </w:t>
      </w:r>
      <w:r w:rsidR="00294E47">
        <w:rPr>
          <w:lang w:val="en-AU"/>
        </w:rPr>
        <w:t>addition</w:t>
      </w:r>
      <w:r w:rsidR="001B6430">
        <w:rPr>
          <w:lang w:val="en-AU"/>
        </w:rPr>
        <w:t xml:space="preserve"> of 2</w:t>
      </w:r>
      <w:r w:rsidR="005D4C6E">
        <w:rPr>
          <w:lang w:val="en-AU"/>
        </w:rPr>
        <w:t>′</w:t>
      </w:r>
      <w:r w:rsidR="001B6430">
        <w:rPr>
          <w:lang w:val="en-AU"/>
        </w:rPr>
        <w:t xml:space="preserve">-FL </w:t>
      </w:r>
      <w:r w:rsidR="00A82D70">
        <w:rPr>
          <w:lang w:val="en-AU"/>
        </w:rPr>
        <w:t xml:space="preserve">alone </w:t>
      </w:r>
      <w:r w:rsidR="00014B41">
        <w:rPr>
          <w:lang w:val="en-AU"/>
        </w:rPr>
        <w:t xml:space="preserve">and </w:t>
      </w:r>
      <w:r w:rsidR="006D7989">
        <w:rPr>
          <w:lang w:val="en-AU"/>
        </w:rPr>
        <w:t xml:space="preserve">in combination </w:t>
      </w:r>
      <w:r w:rsidR="00014B41">
        <w:rPr>
          <w:lang w:val="en-AU"/>
        </w:rPr>
        <w:t>with</w:t>
      </w:r>
      <w:r w:rsidR="00294E47">
        <w:rPr>
          <w:lang w:val="en-AU"/>
        </w:rPr>
        <w:t xml:space="preserve"> LNnT to</w:t>
      </w:r>
      <w:r w:rsidR="006F4E5E">
        <w:rPr>
          <w:lang w:val="en-AU"/>
        </w:rPr>
        <w:t xml:space="preserve"> formulated supplementary foods for young children (FSFYC)</w:t>
      </w:r>
      <w:r w:rsidRPr="00932F72">
        <w:rPr>
          <w:lang w:val="en-AU"/>
        </w:rPr>
        <w:t xml:space="preserve">. </w:t>
      </w:r>
    </w:p>
    <w:p w14:paraId="628D2BB1" w14:textId="77777777" w:rsidR="006F4E5E" w:rsidRDefault="006F4E5E" w:rsidP="00F73381">
      <w:pPr>
        <w:rPr>
          <w:lang w:val="en-AU"/>
        </w:rPr>
      </w:pPr>
    </w:p>
    <w:tbl>
      <w:tblPr>
        <w:tblStyle w:val="TableGrid"/>
        <w:tblW w:w="5000" w:type="pct"/>
        <w:tblLook w:val="04A0" w:firstRow="1" w:lastRow="0" w:firstColumn="1" w:lastColumn="0" w:noHBand="0" w:noVBand="1"/>
        <w:tblDescription w:val="This table summarises FSANZ's assessment of the application against the specific policy principles of the Ministerial Policy Guideline on the Intent of Part 2.9 - special purpose foods of the Code."/>
      </w:tblPr>
      <w:tblGrid>
        <w:gridCol w:w="6940"/>
        <w:gridCol w:w="7052"/>
      </w:tblGrid>
      <w:tr w:rsidR="000A1AF4" w:rsidRPr="00203E26" w14:paraId="1E2D9589" w14:textId="77777777" w:rsidTr="0060268D">
        <w:trPr>
          <w:cantSplit/>
          <w:tblHeader/>
        </w:trPr>
        <w:tc>
          <w:tcPr>
            <w:tcW w:w="2480" w:type="pct"/>
            <w:shd w:val="clear" w:color="auto" w:fill="E5DFEC" w:themeFill="accent4" w:themeFillTint="33"/>
          </w:tcPr>
          <w:p w14:paraId="6848E9D2" w14:textId="6EE03636" w:rsidR="000A1AF4" w:rsidRPr="00203E26" w:rsidRDefault="00F73381" w:rsidP="00647775">
            <w:pPr>
              <w:spacing w:before="120" w:after="120"/>
              <w:rPr>
                <w:b/>
                <w:szCs w:val="20"/>
              </w:rPr>
            </w:pPr>
            <w:r w:rsidRPr="00932F72">
              <w:rPr>
                <w:rFonts w:cs="Arial"/>
                <w:lang w:val="en-AU"/>
              </w:rPr>
              <w:t xml:space="preserve"> </w:t>
            </w:r>
            <w:r w:rsidR="00F85EAC">
              <w:rPr>
                <w:b/>
                <w:szCs w:val="20"/>
              </w:rPr>
              <w:t xml:space="preserve">Specific </w:t>
            </w:r>
            <w:r w:rsidR="000A1AF4" w:rsidRPr="00203E26">
              <w:rPr>
                <w:b/>
                <w:szCs w:val="20"/>
              </w:rPr>
              <w:t>Policy Principles</w:t>
            </w:r>
            <w:r w:rsidR="000A1AF4" w:rsidRPr="00203E26">
              <w:rPr>
                <w:rFonts w:ascii="Times New Roman" w:hAnsi="Times New Roman"/>
                <w:color w:val="000000"/>
                <w:sz w:val="23"/>
                <w:szCs w:val="23"/>
                <w:lang w:val="en-NZ" w:eastAsia="en-GB"/>
              </w:rPr>
              <w:t xml:space="preserve"> </w:t>
            </w:r>
          </w:p>
        </w:tc>
        <w:tc>
          <w:tcPr>
            <w:tcW w:w="2520" w:type="pct"/>
            <w:shd w:val="clear" w:color="auto" w:fill="E5DFEC" w:themeFill="accent4" w:themeFillTint="33"/>
            <w:vAlign w:val="center"/>
          </w:tcPr>
          <w:p w14:paraId="503F0EF4" w14:textId="72E39AF4" w:rsidR="000A1AF4" w:rsidRPr="00203E26" w:rsidRDefault="00F85EAC" w:rsidP="00647775">
            <w:pPr>
              <w:spacing w:before="120" w:after="120"/>
              <w:jc w:val="center"/>
              <w:rPr>
                <w:b/>
                <w:szCs w:val="20"/>
              </w:rPr>
            </w:pPr>
            <w:r>
              <w:rPr>
                <w:b/>
                <w:szCs w:val="20"/>
              </w:rPr>
              <w:t>Assessment</w:t>
            </w:r>
          </w:p>
        </w:tc>
      </w:tr>
      <w:tr w:rsidR="000A1AF4" w:rsidRPr="00203E26" w14:paraId="4195DEFB" w14:textId="77777777" w:rsidTr="0016709C">
        <w:trPr>
          <w:cantSplit/>
          <w:trHeight w:val="1234"/>
        </w:trPr>
        <w:tc>
          <w:tcPr>
            <w:tcW w:w="2480" w:type="pct"/>
          </w:tcPr>
          <w:p w14:paraId="55CE7C04" w14:textId="22305E73"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t>Special purpose foods should be targeted to specific population groups who meet the criteria outlined in the policy guideline</w:t>
            </w:r>
          </w:p>
        </w:tc>
        <w:tc>
          <w:tcPr>
            <w:tcW w:w="2520" w:type="pct"/>
          </w:tcPr>
          <w:p w14:paraId="6D7877B9" w14:textId="79B6D842" w:rsidR="000A1AF4" w:rsidRPr="00D836AD" w:rsidRDefault="00D836AD" w:rsidP="006337AC">
            <w:pPr>
              <w:rPr>
                <w:sz w:val="20"/>
                <w:szCs w:val="20"/>
              </w:rPr>
            </w:pPr>
            <w:r w:rsidRPr="00D836AD">
              <w:rPr>
                <w:sz w:val="20"/>
                <w:szCs w:val="20"/>
              </w:rPr>
              <w:t xml:space="preserve">This application does not amend the range of special purpose foods in Part 2.9 of the Code. Special purpose foods relevant to this application are </w:t>
            </w:r>
            <w:r>
              <w:rPr>
                <w:sz w:val="20"/>
                <w:szCs w:val="20"/>
              </w:rPr>
              <w:t xml:space="preserve">infant formula products </w:t>
            </w:r>
            <w:r w:rsidR="00113A1C">
              <w:rPr>
                <w:sz w:val="20"/>
                <w:szCs w:val="20"/>
              </w:rPr>
              <w:t>(</w:t>
            </w:r>
            <w:r w:rsidR="00807E8F">
              <w:rPr>
                <w:sz w:val="20"/>
                <w:szCs w:val="20"/>
              </w:rPr>
              <w:t xml:space="preserve">as </w:t>
            </w:r>
            <w:r w:rsidR="00113A1C">
              <w:rPr>
                <w:sz w:val="20"/>
                <w:szCs w:val="20"/>
              </w:rPr>
              <w:t>assessed against the</w:t>
            </w:r>
            <w:r w:rsidR="000D11BB">
              <w:rPr>
                <w:sz w:val="20"/>
                <w:szCs w:val="20"/>
              </w:rPr>
              <w:t xml:space="preserve"> specific policy above) </w:t>
            </w:r>
            <w:r>
              <w:rPr>
                <w:sz w:val="20"/>
                <w:szCs w:val="20"/>
              </w:rPr>
              <w:t>and FSFYC.</w:t>
            </w:r>
          </w:p>
        </w:tc>
      </w:tr>
      <w:tr w:rsidR="000A1AF4" w:rsidRPr="00203E26" w14:paraId="57D1CD3B" w14:textId="77777777" w:rsidTr="00D836AD">
        <w:trPr>
          <w:cantSplit/>
          <w:trHeight w:val="850"/>
        </w:trPr>
        <w:tc>
          <w:tcPr>
            <w:tcW w:w="2480" w:type="pct"/>
          </w:tcPr>
          <w:p w14:paraId="2D9816E1" w14:textId="77777777" w:rsidR="000A1AF4" w:rsidRPr="00F85EAC" w:rsidRDefault="000A1AF4" w:rsidP="000A1AF4">
            <w:pPr>
              <w:pStyle w:val="ListParagraph"/>
              <w:numPr>
                <w:ilvl w:val="0"/>
                <w:numId w:val="11"/>
              </w:numPr>
              <w:autoSpaceDE w:val="0"/>
              <w:autoSpaceDN w:val="0"/>
              <w:adjustRightInd w:val="0"/>
              <w:rPr>
                <w:sz w:val="20"/>
                <w:szCs w:val="20"/>
                <w:lang w:val="en-NZ"/>
              </w:rPr>
            </w:pPr>
            <w:r w:rsidRPr="00F85EAC">
              <w:rPr>
                <w:rFonts w:eastAsia="Times New Roman"/>
                <w:sz w:val="20"/>
                <w:szCs w:val="20"/>
              </w:rPr>
              <w:lastRenderedPageBreak/>
              <w:t>The composition of special purpose food should be consistent with the intended purpose</w:t>
            </w:r>
          </w:p>
        </w:tc>
        <w:tc>
          <w:tcPr>
            <w:tcW w:w="2520" w:type="pct"/>
          </w:tcPr>
          <w:p w14:paraId="216C6E57" w14:textId="622F72EB" w:rsidR="000A1AF4" w:rsidRPr="00F85EAC" w:rsidRDefault="00D836AD" w:rsidP="00F34CB8">
            <w:pPr>
              <w:spacing w:after="120"/>
              <w:rPr>
                <w:sz w:val="20"/>
                <w:szCs w:val="20"/>
              </w:rPr>
            </w:pPr>
            <w:r>
              <w:rPr>
                <w:sz w:val="20"/>
                <w:szCs w:val="20"/>
              </w:rPr>
              <w:t>F</w:t>
            </w:r>
            <w:r w:rsidR="00113A1C">
              <w:rPr>
                <w:sz w:val="20"/>
                <w:szCs w:val="20"/>
              </w:rPr>
              <w:t>SFYC</w:t>
            </w:r>
            <w:r w:rsidR="007A743B">
              <w:rPr>
                <w:sz w:val="20"/>
                <w:szCs w:val="20"/>
              </w:rPr>
              <w:t xml:space="preserve"> are specifically formulated </w:t>
            </w:r>
            <w:r w:rsidR="00113A1C">
              <w:rPr>
                <w:sz w:val="20"/>
                <w:szCs w:val="20"/>
              </w:rPr>
              <w:t xml:space="preserve">for children aged 1 to &lt;4 years </w:t>
            </w:r>
            <w:r w:rsidR="007A743B">
              <w:rPr>
                <w:sz w:val="20"/>
                <w:szCs w:val="20"/>
              </w:rPr>
              <w:t>as a supplement to a normal diet to address situations where intakes of energy and nutrients</w:t>
            </w:r>
            <w:r w:rsidR="00113A1C">
              <w:rPr>
                <w:sz w:val="20"/>
                <w:szCs w:val="20"/>
              </w:rPr>
              <w:t xml:space="preserve"> may not be adequate to meet an</w:t>
            </w:r>
            <w:r w:rsidR="007A743B">
              <w:rPr>
                <w:sz w:val="20"/>
                <w:szCs w:val="20"/>
              </w:rPr>
              <w:t xml:space="preserve"> individual</w:t>
            </w:r>
            <w:r w:rsidR="00113A1C">
              <w:rPr>
                <w:sz w:val="20"/>
                <w:szCs w:val="20"/>
              </w:rPr>
              <w:t>’s</w:t>
            </w:r>
            <w:r w:rsidR="007A743B">
              <w:rPr>
                <w:sz w:val="20"/>
                <w:szCs w:val="20"/>
              </w:rPr>
              <w:t xml:space="preserve"> requirements. </w:t>
            </w:r>
            <w:r w:rsidR="00113A1C" w:rsidRPr="00113A1C">
              <w:rPr>
                <w:sz w:val="20"/>
                <w:szCs w:val="20"/>
              </w:rPr>
              <w:t xml:space="preserve">Whilst the proposed </w:t>
            </w:r>
            <w:r w:rsidR="00113A1C">
              <w:rPr>
                <w:sz w:val="20"/>
                <w:szCs w:val="20"/>
              </w:rPr>
              <w:t xml:space="preserve">voluntary </w:t>
            </w:r>
            <w:r w:rsidR="00113A1C" w:rsidRPr="00113A1C">
              <w:rPr>
                <w:sz w:val="20"/>
                <w:szCs w:val="20"/>
              </w:rPr>
              <w:t>addition</w:t>
            </w:r>
            <w:r w:rsidR="00113A1C">
              <w:rPr>
                <w:sz w:val="20"/>
                <w:szCs w:val="20"/>
              </w:rPr>
              <w:t xml:space="preserve"> of 2</w:t>
            </w:r>
            <w:r w:rsidR="005D4C6E">
              <w:rPr>
                <w:sz w:val="20"/>
                <w:szCs w:val="20"/>
              </w:rPr>
              <w:t>′</w:t>
            </w:r>
            <w:r w:rsidR="00113A1C">
              <w:rPr>
                <w:sz w:val="20"/>
                <w:szCs w:val="20"/>
              </w:rPr>
              <w:t>-FL and LNnT</w:t>
            </w:r>
            <w:r w:rsidR="00113A1C" w:rsidRPr="00113A1C">
              <w:rPr>
                <w:sz w:val="20"/>
                <w:szCs w:val="20"/>
              </w:rPr>
              <w:t xml:space="preserve"> to FSFYC </w:t>
            </w:r>
            <w:r w:rsidR="006337AC">
              <w:rPr>
                <w:sz w:val="20"/>
                <w:szCs w:val="20"/>
              </w:rPr>
              <w:t>may not strongly align with the intended purpose</w:t>
            </w:r>
            <w:r w:rsidR="00113A1C" w:rsidRPr="00113A1C">
              <w:rPr>
                <w:sz w:val="20"/>
                <w:szCs w:val="20"/>
              </w:rPr>
              <w:t xml:space="preserve"> of th</w:t>
            </w:r>
            <w:r w:rsidR="003001A8">
              <w:rPr>
                <w:sz w:val="20"/>
                <w:szCs w:val="20"/>
              </w:rPr>
              <w:t xml:space="preserve">is </w:t>
            </w:r>
            <w:r w:rsidR="00113A1C" w:rsidRPr="00113A1C">
              <w:rPr>
                <w:sz w:val="20"/>
                <w:szCs w:val="20"/>
              </w:rPr>
              <w:t>food</w:t>
            </w:r>
            <w:r w:rsidR="003001A8">
              <w:rPr>
                <w:sz w:val="20"/>
                <w:szCs w:val="20"/>
              </w:rPr>
              <w:t xml:space="preserve"> category</w:t>
            </w:r>
            <w:r w:rsidR="00113A1C" w:rsidRPr="00113A1C">
              <w:rPr>
                <w:sz w:val="20"/>
                <w:szCs w:val="20"/>
              </w:rPr>
              <w:t xml:space="preserve">, </w:t>
            </w:r>
            <w:r w:rsidR="000A4E7E">
              <w:rPr>
                <w:sz w:val="20"/>
                <w:szCs w:val="20"/>
              </w:rPr>
              <w:t>the addition is</w:t>
            </w:r>
            <w:r w:rsidR="00113A1C" w:rsidRPr="00113A1C">
              <w:rPr>
                <w:sz w:val="20"/>
                <w:szCs w:val="20"/>
              </w:rPr>
              <w:t xml:space="preserve"> safe</w:t>
            </w:r>
            <w:r w:rsidR="003001A8">
              <w:rPr>
                <w:sz w:val="20"/>
                <w:szCs w:val="20"/>
              </w:rPr>
              <w:t xml:space="preserve"> and </w:t>
            </w:r>
            <w:r w:rsidR="00113A1C" w:rsidRPr="00113A1C">
              <w:rPr>
                <w:sz w:val="20"/>
                <w:szCs w:val="20"/>
              </w:rPr>
              <w:t>provides potential beneficial health outcomes in toddlers</w:t>
            </w:r>
            <w:r w:rsidR="003001A8">
              <w:rPr>
                <w:sz w:val="20"/>
                <w:szCs w:val="20"/>
              </w:rPr>
              <w:t xml:space="preserve">. The proposed addition also supports international consistency and </w:t>
            </w:r>
            <w:r w:rsidR="00F34CB8">
              <w:rPr>
                <w:sz w:val="20"/>
                <w:szCs w:val="20"/>
              </w:rPr>
              <w:t>a competitive food industry</w:t>
            </w:r>
            <w:r w:rsidR="003001A8">
              <w:rPr>
                <w:sz w:val="20"/>
                <w:szCs w:val="20"/>
              </w:rPr>
              <w:t xml:space="preserve"> </w:t>
            </w:r>
            <w:r w:rsidR="003001A8">
              <w:rPr>
                <w:rFonts w:cs="Arial"/>
                <w:sz w:val="20"/>
                <w:szCs w:val="20"/>
              </w:rPr>
              <w:t>(in accordance with high order policy principles 2</w:t>
            </w:r>
            <w:r w:rsidR="00402636">
              <w:rPr>
                <w:rFonts w:cs="Arial"/>
                <w:sz w:val="20"/>
                <w:szCs w:val="20"/>
              </w:rPr>
              <w:t>(</w:t>
            </w:r>
            <w:r w:rsidR="003001A8">
              <w:rPr>
                <w:rFonts w:cs="Arial"/>
                <w:sz w:val="20"/>
                <w:szCs w:val="20"/>
              </w:rPr>
              <w:t>b</w:t>
            </w:r>
            <w:r w:rsidR="00402636">
              <w:rPr>
                <w:rFonts w:cs="Arial"/>
                <w:sz w:val="20"/>
                <w:szCs w:val="20"/>
              </w:rPr>
              <w:t>)</w:t>
            </w:r>
            <w:r w:rsidR="003001A8">
              <w:rPr>
                <w:rFonts w:cs="Arial"/>
                <w:sz w:val="20"/>
                <w:szCs w:val="20"/>
              </w:rPr>
              <w:t xml:space="preserve"> and </w:t>
            </w:r>
            <w:r w:rsidR="00402636">
              <w:rPr>
                <w:rFonts w:cs="Arial"/>
                <w:sz w:val="20"/>
                <w:szCs w:val="20"/>
              </w:rPr>
              <w:t>(</w:t>
            </w:r>
            <w:r w:rsidR="003001A8">
              <w:rPr>
                <w:rFonts w:cs="Arial"/>
                <w:sz w:val="20"/>
                <w:szCs w:val="20"/>
              </w:rPr>
              <w:t>c)</w:t>
            </w:r>
            <w:r w:rsidR="00F34CB8">
              <w:rPr>
                <w:rFonts w:cs="Arial"/>
                <w:sz w:val="20"/>
                <w:szCs w:val="20"/>
              </w:rPr>
              <w:t>),</w:t>
            </w:r>
            <w:r w:rsidR="003001A8">
              <w:rPr>
                <w:sz w:val="20"/>
                <w:szCs w:val="20"/>
              </w:rPr>
              <w:t xml:space="preserve"> </w:t>
            </w:r>
            <w:r w:rsidR="00113A1C" w:rsidRPr="00113A1C">
              <w:rPr>
                <w:sz w:val="20"/>
                <w:szCs w:val="20"/>
              </w:rPr>
              <w:t xml:space="preserve">and </w:t>
            </w:r>
            <w:r w:rsidR="003001A8">
              <w:rPr>
                <w:sz w:val="20"/>
                <w:szCs w:val="20"/>
              </w:rPr>
              <w:t>provides</w:t>
            </w:r>
            <w:r w:rsidR="003001A8" w:rsidRPr="00113A1C">
              <w:rPr>
                <w:sz w:val="20"/>
                <w:szCs w:val="20"/>
              </w:rPr>
              <w:t xml:space="preserve"> </w:t>
            </w:r>
            <w:r w:rsidR="00113A1C" w:rsidRPr="00113A1C">
              <w:rPr>
                <w:sz w:val="20"/>
                <w:szCs w:val="20"/>
              </w:rPr>
              <w:t xml:space="preserve">alternative options to </w:t>
            </w:r>
            <w:r w:rsidR="003001A8">
              <w:rPr>
                <w:sz w:val="20"/>
                <w:szCs w:val="20"/>
              </w:rPr>
              <w:t xml:space="preserve">ITF and GOS </w:t>
            </w:r>
            <w:r w:rsidR="001E3E92">
              <w:rPr>
                <w:sz w:val="20"/>
                <w:szCs w:val="20"/>
              </w:rPr>
              <w:t xml:space="preserve">currently </w:t>
            </w:r>
            <w:r w:rsidR="003001A8">
              <w:rPr>
                <w:sz w:val="20"/>
                <w:szCs w:val="20"/>
              </w:rPr>
              <w:t>permitted at higher levels in FSFYC</w:t>
            </w:r>
            <w:r w:rsidR="00113A1C">
              <w:rPr>
                <w:sz w:val="20"/>
                <w:szCs w:val="20"/>
              </w:rPr>
              <w:t xml:space="preserve"> (see section 2.</w:t>
            </w:r>
            <w:r w:rsidR="003001A8">
              <w:rPr>
                <w:sz w:val="20"/>
                <w:szCs w:val="20"/>
              </w:rPr>
              <w:t>3</w:t>
            </w:r>
            <w:r w:rsidR="00113A1C">
              <w:rPr>
                <w:sz w:val="20"/>
                <w:szCs w:val="20"/>
              </w:rPr>
              <w:t xml:space="preserve">.1 of the </w:t>
            </w:r>
            <w:r w:rsidR="003001A8">
              <w:rPr>
                <w:sz w:val="20"/>
                <w:szCs w:val="20"/>
              </w:rPr>
              <w:t>2</w:t>
            </w:r>
            <w:r w:rsidR="003001A8" w:rsidRPr="003001A8">
              <w:rPr>
                <w:sz w:val="20"/>
                <w:szCs w:val="20"/>
                <w:vertAlign w:val="superscript"/>
              </w:rPr>
              <w:t>nd</w:t>
            </w:r>
            <w:r w:rsidR="003001A8">
              <w:rPr>
                <w:sz w:val="20"/>
                <w:szCs w:val="20"/>
              </w:rPr>
              <w:t xml:space="preserve"> </w:t>
            </w:r>
            <w:r w:rsidR="00113A1C">
              <w:rPr>
                <w:sz w:val="20"/>
                <w:szCs w:val="20"/>
              </w:rPr>
              <w:t>CFS)</w:t>
            </w:r>
            <w:r w:rsidR="00113A1C" w:rsidRPr="00113A1C">
              <w:rPr>
                <w:sz w:val="20"/>
                <w:szCs w:val="20"/>
              </w:rPr>
              <w:t xml:space="preserve">. </w:t>
            </w:r>
          </w:p>
        </w:tc>
      </w:tr>
      <w:tr w:rsidR="000A1AF4" w14:paraId="204AD4F7" w14:textId="77777777" w:rsidTr="00D836AD">
        <w:trPr>
          <w:cantSplit/>
          <w:trHeight w:val="1801"/>
        </w:trPr>
        <w:tc>
          <w:tcPr>
            <w:tcW w:w="2480" w:type="pct"/>
          </w:tcPr>
          <w:p w14:paraId="26BB312B" w14:textId="77777777" w:rsidR="000A1AF4" w:rsidRPr="00F85EAC" w:rsidRDefault="000A1AF4" w:rsidP="000A1AF4">
            <w:pPr>
              <w:pStyle w:val="ListParagraph"/>
              <w:numPr>
                <w:ilvl w:val="0"/>
                <w:numId w:val="11"/>
              </w:numPr>
              <w:rPr>
                <w:rFonts w:eastAsia="Times New Roman"/>
                <w:sz w:val="20"/>
                <w:szCs w:val="20"/>
              </w:rPr>
            </w:pPr>
            <w:r w:rsidRPr="00F85EAC">
              <w:rPr>
                <w:rFonts w:eastAsia="Times New Roman"/>
                <w:sz w:val="20"/>
                <w:szCs w:val="20"/>
              </w:rPr>
              <w:t>Adequate information should be provided, including through labelling and advertising of special purpose foods</w:t>
            </w:r>
          </w:p>
        </w:tc>
        <w:tc>
          <w:tcPr>
            <w:tcW w:w="2520" w:type="pct"/>
          </w:tcPr>
          <w:p w14:paraId="33321272" w14:textId="6F6C2A43" w:rsidR="00163143" w:rsidRDefault="000A1AF4" w:rsidP="003001A8">
            <w:pPr>
              <w:spacing w:after="120"/>
              <w:rPr>
                <w:sz w:val="20"/>
                <w:szCs w:val="20"/>
              </w:rPr>
            </w:pPr>
            <w:r w:rsidRPr="00113A1C" w:rsidDel="003F6A19">
              <w:rPr>
                <w:sz w:val="20"/>
                <w:szCs w:val="20"/>
              </w:rPr>
              <w:t xml:space="preserve">The </w:t>
            </w:r>
            <w:r w:rsidR="00ED425B" w:rsidRPr="00113A1C">
              <w:rPr>
                <w:sz w:val="20"/>
                <w:szCs w:val="20"/>
              </w:rPr>
              <w:t xml:space="preserve">proposed </w:t>
            </w:r>
            <w:r w:rsidR="007517BF" w:rsidRPr="00113A1C">
              <w:rPr>
                <w:sz w:val="20"/>
                <w:szCs w:val="20"/>
              </w:rPr>
              <w:t xml:space="preserve">voluntary </w:t>
            </w:r>
            <w:r w:rsidRPr="00113A1C" w:rsidDel="003F6A19">
              <w:rPr>
                <w:sz w:val="20"/>
                <w:szCs w:val="20"/>
              </w:rPr>
              <w:t xml:space="preserve">addition </w:t>
            </w:r>
            <w:r w:rsidR="001C2A7B" w:rsidRPr="00113A1C">
              <w:rPr>
                <w:sz w:val="20"/>
                <w:szCs w:val="20"/>
              </w:rPr>
              <w:t>to FSFYC</w:t>
            </w:r>
            <w:r w:rsidRPr="00113A1C" w:rsidDel="003F6A19">
              <w:rPr>
                <w:sz w:val="20"/>
                <w:szCs w:val="20"/>
              </w:rPr>
              <w:t xml:space="preserve"> </w:t>
            </w:r>
            <w:r w:rsidR="007517BF" w:rsidRPr="00113A1C">
              <w:rPr>
                <w:sz w:val="20"/>
                <w:szCs w:val="20"/>
              </w:rPr>
              <w:t>would be</w:t>
            </w:r>
            <w:r w:rsidRPr="00113A1C" w:rsidDel="003F6A19">
              <w:rPr>
                <w:sz w:val="20"/>
                <w:szCs w:val="20"/>
              </w:rPr>
              <w:t xml:space="preserve"> subject to gener</w:t>
            </w:r>
            <w:r w:rsidR="001C2A7B" w:rsidRPr="00113A1C">
              <w:rPr>
                <w:sz w:val="20"/>
                <w:szCs w:val="20"/>
              </w:rPr>
              <w:t>ic labelling requirements in</w:t>
            </w:r>
            <w:r w:rsidRPr="00113A1C">
              <w:rPr>
                <w:sz w:val="20"/>
                <w:szCs w:val="20"/>
              </w:rPr>
              <w:t xml:space="preserve"> </w:t>
            </w:r>
            <w:r w:rsidR="00ED425B" w:rsidRPr="00113A1C">
              <w:rPr>
                <w:sz w:val="20"/>
                <w:szCs w:val="20"/>
              </w:rPr>
              <w:t>the Code (see section 2.</w:t>
            </w:r>
            <w:r w:rsidR="003001A8">
              <w:rPr>
                <w:sz w:val="20"/>
                <w:szCs w:val="20"/>
              </w:rPr>
              <w:t>3</w:t>
            </w:r>
            <w:r w:rsidR="00ED425B" w:rsidRPr="00113A1C">
              <w:rPr>
                <w:sz w:val="20"/>
                <w:szCs w:val="20"/>
              </w:rPr>
              <w:t xml:space="preserve">.5 of the </w:t>
            </w:r>
            <w:r w:rsidR="003001A8">
              <w:rPr>
                <w:sz w:val="20"/>
                <w:szCs w:val="20"/>
              </w:rPr>
              <w:t>2</w:t>
            </w:r>
            <w:r w:rsidR="003001A8" w:rsidRPr="003001A8">
              <w:rPr>
                <w:sz w:val="20"/>
                <w:szCs w:val="20"/>
                <w:vertAlign w:val="superscript"/>
              </w:rPr>
              <w:t>nd</w:t>
            </w:r>
            <w:r w:rsidR="003001A8">
              <w:rPr>
                <w:sz w:val="20"/>
                <w:szCs w:val="20"/>
              </w:rPr>
              <w:t xml:space="preserve"> </w:t>
            </w:r>
            <w:r w:rsidR="005A7BCB">
              <w:rPr>
                <w:sz w:val="20"/>
                <w:szCs w:val="20"/>
              </w:rPr>
              <w:t xml:space="preserve">CFS report), </w:t>
            </w:r>
            <w:r w:rsidR="00ED425B" w:rsidRPr="00113A1C">
              <w:rPr>
                <w:sz w:val="20"/>
                <w:szCs w:val="20"/>
              </w:rPr>
              <w:t xml:space="preserve">and </w:t>
            </w:r>
            <w:r w:rsidRPr="00113A1C">
              <w:rPr>
                <w:sz w:val="20"/>
                <w:szCs w:val="20"/>
              </w:rPr>
              <w:t>specif</w:t>
            </w:r>
            <w:r w:rsidR="001C2A7B" w:rsidRPr="00113A1C">
              <w:rPr>
                <w:sz w:val="20"/>
                <w:szCs w:val="20"/>
              </w:rPr>
              <w:t>ic labelling requirements in Standard 2.9.3</w:t>
            </w:r>
            <w:r w:rsidR="00ED425B" w:rsidRPr="00113A1C">
              <w:rPr>
                <w:sz w:val="20"/>
                <w:szCs w:val="20"/>
              </w:rPr>
              <w:t>, Division 4</w:t>
            </w:r>
            <w:r w:rsidRPr="00113A1C">
              <w:rPr>
                <w:sz w:val="20"/>
                <w:szCs w:val="20"/>
              </w:rPr>
              <w:t>.</w:t>
            </w:r>
            <w:r w:rsidR="00D01680" w:rsidRPr="00113A1C">
              <w:rPr>
                <w:sz w:val="20"/>
                <w:szCs w:val="20"/>
              </w:rPr>
              <w:t xml:space="preserve"> The</w:t>
            </w:r>
            <w:r w:rsidR="00D01680">
              <w:rPr>
                <w:sz w:val="20"/>
                <w:szCs w:val="20"/>
              </w:rPr>
              <w:t>se</w:t>
            </w:r>
            <w:r w:rsidR="00D01680" w:rsidRPr="00113A1C">
              <w:rPr>
                <w:sz w:val="20"/>
                <w:szCs w:val="20"/>
              </w:rPr>
              <w:t xml:space="preserve"> existing requirements will enable consumers to make informed purchasing decisions</w:t>
            </w:r>
            <w:r w:rsidR="00D01680">
              <w:rPr>
                <w:sz w:val="20"/>
                <w:szCs w:val="20"/>
              </w:rPr>
              <w:t>.</w:t>
            </w:r>
          </w:p>
          <w:p w14:paraId="6AB441BD" w14:textId="2771EF75" w:rsidR="000A1AF4" w:rsidRPr="00113A1C" w:rsidRDefault="00ED425B" w:rsidP="005C606A">
            <w:pPr>
              <w:spacing w:after="120"/>
              <w:rPr>
                <w:sz w:val="20"/>
                <w:szCs w:val="20"/>
              </w:rPr>
            </w:pPr>
            <w:r w:rsidRPr="00113A1C">
              <w:rPr>
                <w:sz w:val="20"/>
                <w:szCs w:val="20"/>
              </w:rPr>
              <w:t>In addition</w:t>
            </w:r>
            <w:r w:rsidR="002754B3" w:rsidRPr="00113A1C">
              <w:rPr>
                <w:sz w:val="20"/>
                <w:szCs w:val="20"/>
              </w:rPr>
              <w:t xml:space="preserve"> to</w:t>
            </w:r>
            <w:r w:rsidRPr="00113A1C">
              <w:rPr>
                <w:sz w:val="20"/>
                <w:szCs w:val="20"/>
              </w:rPr>
              <w:t xml:space="preserve"> existing requirements, </w:t>
            </w:r>
            <w:r w:rsidR="00D01680">
              <w:rPr>
                <w:rFonts w:cs="Arial"/>
                <w:sz w:val="20"/>
                <w:szCs w:val="20"/>
              </w:rPr>
              <w:t xml:space="preserve">following consideration of submissions, </w:t>
            </w:r>
            <w:r w:rsidR="005E58C6">
              <w:rPr>
                <w:rFonts w:cs="Arial"/>
                <w:sz w:val="20"/>
                <w:szCs w:val="20"/>
              </w:rPr>
              <w:t xml:space="preserve">FSANZ </w:t>
            </w:r>
            <w:r w:rsidR="005E58C6" w:rsidRPr="00FA5474">
              <w:rPr>
                <w:rFonts w:cs="Arial"/>
                <w:sz w:val="20"/>
                <w:szCs w:val="20"/>
              </w:rPr>
              <w:t>now propos</w:t>
            </w:r>
            <w:r w:rsidR="00402636">
              <w:rPr>
                <w:rFonts w:cs="Arial"/>
                <w:sz w:val="20"/>
                <w:szCs w:val="20"/>
              </w:rPr>
              <w:t>es</w:t>
            </w:r>
            <w:r w:rsidR="005E58C6" w:rsidRPr="00FA5474">
              <w:rPr>
                <w:rFonts w:cs="Arial"/>
                <w:sz w:val="20"/>
                <w:szCs w:val="20"/>
              </w:rPr>
              <w:t xml:space="preserve"> to specifically prohibit reference to ‘human milk identical oligosaccharide’, ‘human milk oligosaccharide’, ‘HiMO’ or ‘HMO’ (or words or abbreviations of similar effect) on </w:t>
            </w:r>
            <w:r w:rsidR="00D01680">
              <w:rPr>
                <w:rFonts w:cs="Arial"/>
                <w:sz w:val="20"/>
                <w:szCs w:val="20"/>
              </w:rPr>
              <w:t>FSFYC</w:t>
            </w:r>
            <w:r w:rsidR="005E58C6">
              <w:rPr>
                <w:rFonts w:cs="Arial"/>
                <w:sz w:val="20"/>
                <w:szCs w:val="20"/>
              </w:rPr>
              <w:t xml:space="preserve">. </w:t>
            </w:r>
            <w:r w:rsidR="008A339E">
              <w:rPr>
                <w:rFonts w:cs="Arial"/>
                <w:sz w:val="20"/>
                <w:szCs w:val="20"/>
              </w:rPr>
              <w:t>Th</w:t>
            </w:r>
            <w:r w:rsidR="00822C82">
              <w:rPr>
                <w:rFonts w:cs="Arial"/>
                <w:sz w:val="20"/>
                <w:szCs w:val="20"/>
              </w:rPr>
              <w:t>e intent of this prohibition is to prev</w:t>
            </w:r>
            <w:r w:rsidR="005A6A45">
              <w:rPr>
                <w:rFonts w:cs="Arial"/>
                <w:sz w:val="20"/>
                <w:szCs w:val="20"/>
              </w:rPr>
              <w:t>ent consumers being misled or confused about the use of such terminology on FSFYC</w:t>
            </w:r>
            <w:r w:rsidR="00822C82">
              <w:rPr>
                <w:rFonts w:cs="Arial"/>
                <w:sz w:val="20"/>
                <w:szCs w:val="20"/>
              </w:rPr>
              <w:t xml:space="preserve"> (see section 2.3.5.2 of the 2</w:t>
            </w:r>
            <w:r w:rsidR="00822C82" w:rsidRPr="00822C82">
              <w:rPr>
                <w:rFonts w:cs="Arial"/>
                <w:sz w:val="20"/>
                <w:szCs w:val="20"/>
                <w:vertAlign w:val="superscript"/>
              </w:rPr>
              <w:t>nd</w:t>
            </w:r>
            <w:r w:rsidR="00822C82">
              <w:rPr>
                <w:rFonts w:cs="Arial"/>
                <w:sz w:val="20"/>
                <w:szCs w:val="20"/>
              </w:rPr>
              <w:t xml:space="preserve"> CFS report).</w:t>
            </w:r>
            <w:r w:rsidRPr="00113A1C">
              <w:rPr>
                <w:sz w:val="20"/>
                <w:szCs w:val="20"/>
              </w:rPr>
              <w:t xml:space="preserve"> </w:t>
            </w:r>
          </w:p>
        </w:tc>
      </w:tr>
      <w:tr w:rsidR="000A1AF4" w14:paraId="722B1A45" w14:textId="77777777" w:rsidTr="005A7BCB">
        <w:trPr>
          <w:cantSplit/>
          <w:trHeight w:val="977"/>
        </w:trPr>
        <w:tc>
          <w:tcPr>
            <w:tcW w:w="2480" w:type="pct"/>
          </w:tcPr>
          <w:p w14:paraId="71D8D162" w14:textId="77777777" w:rsidR="000A1AF4" w:rsidRPr="008D0605" w:rsidRDefault="000A1AF4" w:rsidP="000A1AF4">
            <w:pPr>
              <w:pStyle w:val="ListParagraph"/>
              <w:numPr>
                <w:ilvl w:val="0"/>
                <w:numId w:val="11"/>
              </w:numPr>
              <w:rPr>
                <w:rFonts w:eastAsia="Times New Roman"/>
                <w:sz w:val="20"/>
                <w:szCs w:val="20"/>
              </w:rPr>
            </w:pPr>
            <w:r w:rsidRPr="008D0605">
              <w:rPr>
                <w:rFonts w:eastAsia="Times New Roman"/>
                <w:sz w:val="20"/>
                <w:szCs w:val="20"/>
              </w:rPr>
              <w:t>Consideration, where appropriate, should be given to application of controls to restrict access to a special purpose food on the basis of risk to public health and safety</w:t>
            </w:r>
          </w:p>
        </w:tc>
        <w:tc>
          <w:tcPr>
            <w:tcW w:w="2520" w:type="pct"/>
          </w:tcPr>
          <w:p w14:paraId="25E58BA6" w14:textId="337F2AAD" w:rsidR="005A7BCB" w:rsidRPr="008D0605" w:rsidRDefault="005A7BCB" w:rsidP="00AD69E1">
            <w:pPr>
              <w:rPr>
                <w:sz w:val="20"/>
                <w:szCs w:val="20"/>
              </w:rPr>
            </w:pPr>
            <w:r w:rsidRPr="005A7BCB">
              <w:rPr>
                <w:sz w:val="20"/>
                <w:szCs w:val="20"/>
              </w:rPr>
              <w:t xml:space="preserve">Access to </w:t>
            </w:r>
            <w:r>
              <w:rPr>
                <w:sz w:val="20"/>
                <w:szCs w:val="20"/>
              </w:rPr>
              <w:t>FSFYC</w:t>
            </w:r>
            <w:r w:rsidRPr="005A7BCB">
              <w:rPr>
                <w:sz w:val="20"/>
                <w:szCs w:val="20"/>
              </w:rPr>
              <w:t xml:space="preserve"> on the market is currently not restricted. </w:t>
            </w:r>
            <w:r w:rsidR="002348E6">
              <w:rPr>
                <w:sz w:val="20"/>
                <w:szCs w:val="20"/>
              </w:rPr>
              <w:t>The safe addition of 2</w:t>
            </w:r>
            <w:r w:rsidR="005D4C6E">
              <w:rPr>
                <w:sz w:val="20"/>
                <w:szCs w:val="20"/>
              </w:rPr>
              <w:t>′</w:t>
            </w:r>
            <w:r w:rsidR="002348E6">
              <w:rPr>
                <w:sz w:val="20"/>
                <w:szCs w:val="20"/>
              </w:rPr>
              <w:t>-FL and LNnT</w:t>
            </w:r>
            <w:r w:rsidR="00A46F4C">
              <w:rPr>
                <w:sz w:val="20"/>
                <w:szCs w:val="20"/>
              </w:rPr>
              <w:t xml:space="preserve"> to</w:t>
            </w:r>
            <w:r w:rsidRPr="005A7BCB">
              <w:rPr>
                <w:sz w:val="20"/>
                <w:szCs w:val="20"/>
              </w:rPr>
              <w:t xml:space="preserve"> these foods does not warrant any change to these arrangements</w:t>
            </w:r>
            <w:r>
              <w:rPr>
                <w:szCs w:val="20"/>
              </w:rPr>
              <w:t>.</w:t>
            </w:r>
          </w:p>
        </w:tc>
      </w:tr>
    </w:tbl>
    <w:p w14:paraId="477E30A6" w14:textId="77777777" w:rsidR="0016709C" w:rsidRPr="008D0605" w:rsidRDefault="0016709C" w:rsidP="0016709C">
      <w:pPr>
        <w:pStyle w:val="ListParagraph"/>
        <w:ind w:left="360"/>
        <w:rPr>
          <w:rFonts w:eastAsia="Times New Roman"/>
          <w:sz w:val="20"/>
          <w:szCs w:val="20"/>
        </w:rPr>
      </w:pPr>
    </w:p>
    <w:sectPr w:rsidR="0016709C" w:rsidRPr="008D0605" w:rsidSect="00FF496E">
      <w:headerReference w:type="default" r:id="rId15"/>
      <w:footerReference w:type="even" r:id="rId16"/>
      <w:footerReference w:type="default" r:id="rId17"/>
      <w:headerReference w:type="first" r:id="rId18"/>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F5051" w14:textId="77777777" w:rsidR="00D71311" w:rsidRDefault="00D71311">
      <w:r>
        <w:separator/>
      </w:r>
    </w:p>
  </w:endnote>
  <w:endnote w:type="continuationSeparator" w:id="0">
    <w:p w14:paraId="24630A4F" w14:textId="77777777" w:rsidR="00D71311" w:rsidRDefault="00D71311">
      <w:r>
        <w:continuationSeparator/>
      </w:r>
    </w:p>
  </w:endnote>
  <w:endnote w:type="continuationNotice" w:id="1">
    <w:p w14:paraId="3FA114DF" w14:textId="77777777" w:rsidR="00D71311" w:rsidRDefault="00D71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3A80" w14:textId="77777777" w:rsidR="0087524E" w:rsidRDefault="0087524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382C3F" w14:textId="77777777" w:rsidR="0087524E" w:rsidRDefault="0087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11CB" w14:textId="3E83DF37" w:rsidR="0087524E" w:rsidRDefault="0087524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7893">
      <w:rPr>
        <w:rStyle w:val="PageNumber"/>
        <w:noProof/>
      </w:rPr>
      <w:t>1</w:t>
    </w:r>
    <w:r>
      <w:rPr>
        <w:rStyle w:val="PageNumber"/>
      </w:rPr>
      <w:fldChar w:fldCharType="end"/>
    </w:r>
  </w:p>
  <w:p w14:paraId="2D5A6B8B" w14:textId="77777777" w:rsidR="0087524E" w:rsidRDefault="008752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CE6E2" w14:textId="77777777" w:rsidR="00D71311" w:rsidRDefault="00D71311">
      <w:r>
        <w:separator/>
      </w:r>
    </w:p>
  </w:footnote>
  <w:footnote w:type="continuationSeparator" w:id="0">
    <w:p w14:paraId="5A967656" w14:textId="77777777" w:rsidR="00D71311" w:rsidRDefault="00D71311">
      <w:r>
        <w:continuationSeparator/>
      </w:r>
    </w:p>
  </w:footnote>
  <w:footnote w:type="continuationNotice" w:id="1">
    <w:p w14:paraId="06C92E82" w14:textId="77777777" w:rsidR="00D71311" w:rsidRDefault="00D713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74898" w14:textId="7839E2EF" w:rsidR="0087524E" w:rsidRPr="007D03EA" w:rsidRDefault="0087524E" w:rsidP="007D03EA">
    <w:pPr>
      <w:pStyle w:val="Header"/>
      <w:jc w:val="center"/>
      <w:rPr>
        <w:rFonts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60ED" w14:textId="77777777" w:rsidR="0087524E" w:rsidRDefault="0087524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3D4C80"/>
    <w:multiLevelType w:val="hybridMultilevel"/>
    <w:tmpl w:val="5400D9A6"/>
    <w:lvl w:ilvl="0" w:tplc="5A921928">
      <w:start w:val="1"/>
      <w:numFmt w:val="decimal"/>
      <w:lvlText w:val="%1."/>
      <w:lvlJc w:val="left"/>
      <w:pPr>
        <w:ind w:left="720" w:hanging="360"/>
      </w:pPr>
      <w:rPr>
        <w:rFonts w:hint="default"/>
        <w:b/>
        <w:bCs/>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0E4C7A"/>
    <w:multiLevelType w:val="hybridMultilevel"/>
    <w:tmpl w:val="665C606C"/>
    <w:lvl w:ilvl="0" w:tplc="39CA8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A7352E"/>
    <w:multiLevelType w:val="hybridMultilevel"/>
    <w:tmpl w:val="8C0AC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5098F"/>
    <w:multiLevelType w:val="hybridMultilevel"/>
    <w:tmpl w:val="DAC69E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4A6DCC"/>
    <w:multiLevelType w:val="hybridMultilevel"/>
    <w:tmpl w:val="759C77DE"/>
    <w:lvl w:ilvl="0" w:tplc="035670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4CBD36CE"/>
    <w:multiLevelType w:val="hybridMultilevel"/>
    <w:tmpl w:val="2BACED04"/>
    <w:lvl w:ilvl="0" w:tplc="65865BD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D61F07"/>
    <w:multiLevelType w:val="hybridMultilevel"/>
    <w:tmpl w:val="457C1E98"/>
    <w:lvl w:ilvl="0" w:tplc="0C090017">
      <w:start w:val="1"/>
      <w:numFmt w:val="lowerLetter"/>
      <w:lvlText w:val="%1)"/>
      <w:lvlJc w:val="left"/>
      <w:pPr>
        <w:ind w:left="360" w:hanging="360"/>
      </w:pPr>
      <w:rPr>
        <w:rFonts w:hint="default"/>
      </w:rPr>
    </w:lvl>
    <w:lvl w:ilvl="1" w:tplc="0D4EC234">
      <w:start w:val="1"/>
      <w:numFmt w:val="lowerRoman"/>
      <w:lvlText w:val="%2."/>
      <w:lvlJc w:val="left"/>
      <w:pPr>
        <w:ind w:left="1080" w:hanging="360"/>
      </w:pPr>
      <w:rPr>
        <w:rFonts w:ascii="Arial" w:eastAsiaTheme="minorHAnsi" w:hAnsi="Arial" w:cstheme="minorBidi"/>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AB73655"/>
    <w:multiLevelType w:val="hybridMultilevel"/>
    <w:tmpl w:val="42563AF2"/>
    <w:lvl w:ilvl="0" w:tplc="B92AF9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1B04E67"/>
    <w:multiLevelType w:val="hybridMultilevel"/>
    <w:tmpl w:val="3ED8361E"/>
    <w:lvl w:ilvl="0" w:tplc="1E726C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AF613F8"/>
    <w:multiLevelType w:val="hybridMultilevel"/>
    <w:tmpl w:val="6486F396"/>
    <w:lvl w:ilvl="0" w:tplc="14090017">
      <w:start w:val="1"/>
      <w:numFmt w:val="lowerLetter"/>
      <w:lvlText w:val="%1)"/>
      <w:lvlJc w:val="left"/>
      <w:pPr>
        <w:ind w:left="360" w:hanging="360"/>
      </w:pPr>
      <w:rPr>
        <w:rFonts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B7469A8"/>
    <w:multiLevelType w:val="hybridMultilevel"/>
    <w:tmpl w:val="4BE886B8"/>
    <w:lvl w:ilvl="0" w:tplc="9FC84D2A">
      <w:start w:val="1"/>
      <w:numFmt w:val="bullet"/>
      <w:pStyle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7"/>
  </w:num>
  <w:num w:numId="3">
    <w:abstractNumId w:val="0"/>
  </w:num>
  <w:num w:numId="4">
    <w:abstractNumId w:val="9"/>
  </w:num>
  <w:num w:numId="5">
    <w:abstractNumId w:val="2"/>
  </w:num>
  <w:num w:numId="6">
    <w:abstractNumId w:val="12"/>
  </w:num>
  <w:num w:numId="7">
    <w:abstractNumId w:val="3"/>
  </w:num>
  <w:num w:numId="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3"/>
  </w:num>
  <w:num w:numId="12">
    <w:abstractNumId w:val="1"/>
  </w:num>
  <w:num w:numId="13">
    <w:abstractNumId w:val="4"/>
  </w:num>
  <w:num w:numId="14">
    <w:abstractNumId w:val="6"/>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08DB"/>
    <w:rsid w:val="00014B41"/>
    <w:rsid w:val="00030564"/>
    <w:rsid w:val="00034702"/>
    <w:rsid w:val="000354E8"/>
    <w:rsid w:val="00035FF3"/>
    <w:rsid w:val="00047B19"/>
    <w:rsid w:val="00051021"/>
    <w:rsid w:val="00051ED9"/>
    <w:rsid w:val="00057181"/>
    <w:rsid w:val="00061B2B"/>
    <w:rsid w:val="00062A01"/>
    <w:rsid w:val="0006473A"/>
    <w:rsid w:val="00064B2D"/>
    <w:rsid w:val="00065F1F"/>
    <w:rsid w:val="00067DEF"/>
    <w:rsid w:val="00070EF0"/>
    <w:rsid w:val="00076D33"/>
    <w:rsid w:val="00077189"/>
    <w:rsid w:val="00077870"/>
    <w:rsid w:val="000843AE"/>
    <w:rsid w:val="00092CDA"/>
    <w:rsid w:val="000A0B42"/>
    <w:rsid w:val="000A1AF4"/>
    <w:rsid w:val="000A27E9"/>
    <w:rsid w:val="000A3D8B"/>
    <w:rsid w:val="000A4E7E"/>
    <w:rsid w:val="000A5DF8"/>
    <w:rsid w:val="000A5FAA"/>
    <w:rsid w:val="000B0194"/>
    <w:rsid w:val="000B0F0C"/>
    <w:rsid w:val="000B2E9C"/>
    <w:rsid w:val="000B6AF2"/>
    <w:rsid w:val="000D11BB"/>
    <w:rsid w:val="000D6FD4"/>
    <w:rsid w:val="000E0AE4"/>
    <w:rsid w:val="000E3DBC"/>
    <w:rsid w:val="000F48C1"/>
    <w:rsid w:val="000F5D35"/>
    <w:rsid w:val="00102B9F"/>
    <w:rsid w:val="00113A1C"/>
    <w:rsid w:val="00113CE3"/>
    <w:rsid w:val="00117522"/>
    <w:rsid w:val="00120BF8"/>
    <w:rsid w:val="00142327"/>
    <w:rsid w:val="0014404C"/>
    <w:rsid w:val="0015011B"/>
    <w:rsid w:val="001542D8"/>
    <w:rsid w:val="00163143"/>
    <w:rsid w:val="0016416B"/>
    <w:rsid w:val="0016709C"/>
    <w:rsid w:val="00180C41"/>
    <w:rsid w:val="00182C4C"/>
    <w:rsid w:val="00185417"/>
    <w:rsid w:val="00197D8D"/>
    <w:rsid w:val="001A1A75"/>
    <w:rsid w:val="001A5902"/>
    <w:rsid w:val="001A7E9A"/>
    <w:rsid w:val="001B6430"/>
    <w:rsid w:val="001C02AF"/>
    <w:rsid w:val="001C27A3"/>
    <w:rsid w:val="001C2A7B"/>
    <w:rsid w:val="001C5295"/>
    <w:rsid w:val="001D0BE8"/>
    <w:rsid w:val="001D15FB"/>
    <w:rsid w:val="001D42A4"/>
    <w:rsid w:val="001D7A41"/>
    <w:rsid w:val="001E09FA"/>
    <w:rsid w:val="001E0DB4"/>
    <w:rsid w:val="001E3E92"/>
    <w:rsid w:val="001F5FE7"/>
    <w:rsid w:val="00203540"/>
    <w:rsid w:val="0021612B"/>
    <w:rsid w:val="0022083A"/>
    <w:rsid w:val="00221D07"/>
    <w:rsid w:val="002244D4"/>
    <w:rsid w:val="00227E4A"/>
    <w:rsid w:val="00230174"/>
    <w:rsid w:val="002348E6"/>
    <w:rsid w:val="002449F2"/>
    <w:rsid w:val="0024582E"/>
    <w:rsid w:val="00245C56"/>
    <w:rsid w:val="002526AC"/>
    <w:rsid w:val="002547EF"/>
    <w:rsid w:val="00256D65"/>
    <w:rsid w:val="0026719E"/>
    <w:rsid w:val="002719AA"/>
    <w:rsid w:val="00271F00"/>
    <w:rsid w:val="00272431"/>
    <w:rsid w:val="002732D4"/>
    <w:rsid w:val="00273A80"/>
    <w:rsid w:val="002754B3"/>
    <w:rsid w:val="0029204E"/>
    <w:rsid w:val="002946F0"/>
    <w:rsid w:val="00294E47"/>
    <w:rsid w:val="0029631C"/>
    <w:rsid w:val="002A0194"/>
    <w:rsid w:val="002A2C8E"/>
    <w:rsid w:val="002A3314"/>
    <w:rsid w:val="002A5F8B"/>
    <w:rsid w:val="002A7F6C"/>
    <w:rsid w:val="002B4735"/>
    <w:rsid w:val="002C00CD"/>
    <w:rsid w:val="002C32EB"/>
    <w:rsid w:val="002D6809"/>
    <w:rsid w:val="002E0AD8"/>
    <w:rsid w:val="002E4CF2"/>
    <w:rsid w:val="002F6488"/>
    <w:rsid w:val="00300023"/>
    <w:rsid w:val="003001A8"/>
    <w:rsid w:val="00320839"/>
    <w:rsid w:val="003213F9"/>
    <w:rsid w:val="00323DBF"/>
    <w:rsid w:val="00326445"/>
    <w:rsid w:val="00326D85"/>
    <w:rsid w:val="003309A8"/>
    <w:rsid w:val="00332215"/>
    <w:rsid w:val="00332B12"/>
    <w:rsid w:val="00337217"/>
    <w:rsid w:val="00345B50"/>
    <w:rsid w:val="00351650"/>
    <w:rsid w:val="00351B07"/>
    <w:rsid w:val="00352CF2"/>
    <w:rsid w:val="00361401"/>
    <w:rsid w:val="0036199A"/>
    <w:rsid w:val="00364589"/>
    <w:rsid w:val="00364841"/>
    <w:rsid w:val="00371B29"/>
    <w:rsid w:val="0037656B"/>
    <w:rsid w:val="00381E88"/>
    <w:rsid w:val="00384E0F"/>
    <w:rsid w:val="0038725F"/>
    <w:rsid w:val="003914B3"/>
    <w:rsid w:val="00391769"/>
    <w:rsid w:val="003953E1"/>
    <w:rsid w:val="003956B3"/>
    <w:rsid w:val="003A4B26"/>
    <w:rsid w:val="003A68BE"/>
    <w:rsid w:val="003B1805"/>
    <w:rsid w:val="003B35E0"/>
    <w:rsid w:val="003B3C9D"/>
    <w:rsid w:val="003B3E6B"/>
    <w:rsid w:val="003B78E0"/>
    <w:rsid w:val="003C1ADA"/>
    <w:rsid w:val="003C36C8"/>
    <w:rsid w:val="003C4969"/>
    <w:rsid w:val="003C6F9D"/>
    <w:rsid w:val="003D28B8"/>
    <w:rsid w:val="003E41D5"/>
    <w:rsid w:val="003E46BA"/>
    <w:rsid w:val="003E7D22"/>
    <w:rsid w:val="003F20A6"/>
    <w:rsid w:val="003F74C1"/>
    <w:rsid w:val="00402636"/>
    <w:rsid w:val="00405B1A"/>
    <w:rsid w:val="00410C76"/>
    <w:rsid w:val="00411907"/>
    <w:rsid w:val="00413CA8"/>
    <w:rsid w:val="00417EE3"/>
    <w:rsid w:val="004207EB"/>
    <w:rsid w:val="00437276"/>
    <w:rsid w:val="004423F2"/>
    <w:rsid w:val="00453733"/>
    <w:rsid w:val="00456B54"/>
    <w:rsid w:val="00462A1C"/>
    <w:rsid w:val="00464643"/>
    <w:rsid w:val="00473DC7"/>
    <w:rsid w:val="00485929"/>
    <w:rsid w:val="00486793"/>
    <w:rsid w:val="00486BC5"/>
    <w:rsid w:val="0049167B"/>
    <w:rsid w:val="0049573E"/>
    <w:rsid w:val="004A18AF"/>
    <w:rsid w:val="004A196C"/>
    <w:rsid w:val="004A2037"/>
    <w:rsid w:val="004A5975"/>
    <w:rsid w:val="004C2CE7"/>
    <w:rsid w:val="004F4F98"/>
    <w:rsid w:val="004F5257"/>
    <w:rsid w:val="004F69F6"/>
    <w:rsid w:val="004F79AC"/>
    <w:rsid w:val="005017CF"/>
    <w:rsid w:val="005031D6"/>
    <w:rsid w:val="00506490"/>
    <w:rsid w:val="005207D8"/>
    <w:rsid w:val="00521D34"/>
    <w:rsid w:val="00522B1F"/>
    <w:rsid w:val="005262CA"/>
    <w:rsid w:val="00531B96"/>
    <w:rsid w:val="00534253"/>
    <w:rsid w:val="0053464E"/>
    <w:rsid w:val="0054272D"/>
    <w:rsid w:val="005611DB"/>
    <w:rsid w:val="00562917"/>
    <w:rsid w:val="005647B6"/>
    <w:rsid w:val="005760E5"/>
    <w:rsid w:val="0057615C"/>
    <w:rsid w:val="00586228"/>
    <w:rsid w:val="005A1D97"/>
    <w:rsid w:val="005A58F3"/>
    <w:rsid w:val="005A6A45"/>
    <w:rsid w:val="005A7BCB"/>
    <w:rsid w:val="005B6AF4"/>
    <w:rsid w:val="005B7A73"/>
    <w:rsid w:val="005C04CB"/>
    <w:rsid w:val="005C606A"/>
    <w:rsid w:val="005D16AD"/>
    <w:rsid w:val="005D4AB7"/>
    <w:rsid w:val="005D4C6E"/>
    <w:rsid w:val="005D72E1"/>
    <w:rsid w:val="005E58C6"/>
    <w:rsid w:val="005E6E16"/>
    <w:rsid w:val="005F37F3"/>
    <w:rsid w:val="005F400E"/>
    <w:rsid w:val="005F6DFA"/>
    <w:rsid w:val="005F7342"/>
    <w:rsid w:val="0060268D"/>
    <w:rsid w:val="00603A08"/>
    <w:rsid w:val="00610A3C"/>
    <w:rsid w:val="00624835"/>
    <w:rsid w:val="00627F48"/>
    <w:rsid w:val="00630C23"/>
    <w:rsid w:val="006337AC"/>
    <w:rsid w:val="006460AB"/>
    <w:rsid w:val="00647775"/>
    <w:rsid w:val="00653123"/>
    <w:rsid w:val="00663FCF"/>
    <w:rsid w:val="00664823"/>
    <w:rsid w:val="006652A2"/>
    <w:rsid w:val="006663F6"/>
    <w:rsid w:val="00683E98"/>
    <w:rsid w:val="00690206"/>
    <w:rsid w:val="006937FF"/>
    <w:rsid w:val="006A48A7"/>
    <w:rsid w:val="006B4BA1"/>
    <w:rsid w:val="006B5EBE"/>
    <w:rsid w:val="006C5CF5"/>
    <w:rsid w:val="006C64F7"/>
    <w:rsid w:val="006D7989"/>
    <w:rsid w:val="006F2FCF"/>
    <w:rsid w:val="006F4A82"/>
    <w:rsid w:val="006F4E5E"/>
    <w:rsid w:val="0070020B"/>
    <w:rsid w:val="0070373B"/>
    <w:rsid w:val="0070546A"/>
    <w:rsid w:val="007065DF"/>
    <w:rsid w:val="00706DA3"/>
    <w:rsid w:val="00712152"/>
    <w:rsid w:val="00721A66"/>
    <w:rsid w:val="00724FA4"/>
    <w:rsid w:val="00730800"/>
    <w:rsid w:val="007311A6"/>
    <w:rsid w:val="00743075"/>
    <w:rsid w:val="007517BF"/>
    <w:rsid w:val="007602AA"/>
    <w:rsid w:val="007637D5"/>
    <w:rsid w:val="007643EC"/>
    <w:rsid w:val="007652EF"/>
    <w:rsid w:val="00772BDC"/>
    <w:rsid w:val="007742A1"/>
    <w:rsid w:val="00780792"/>
    <w:rsid w:val="00785246"/>
    <w:rsid w:val="007920B0"/>
    <w:rsid w:val="007961F4"/>
    <w:rsid w:val="00796562"/>
    <w:rsid w:val="007A0471"/>
    <w:rsid w:val="007A44B4"/>
    <w:rsid w:val="007A743B"/>
    <w:rsid w:val="007A7D3D"/>
    <w:rsid w:val="007B225D"/>
    <w:rsid w:val="007B569F"/>
    <w:rsid w:val="007C174F"/>
    <w:rsid w:val="007C1B7E"/>
    <w:rsid w:val="007C1C64"/>
    <w:rsid w:val="007D03EA"/>
    <w:rsid w:val="007E48BC"/>
    <w:rsid w:val="007E79F7"/>
    <w:rsid w:val="007F3630"/>
    <w:rsid w:val="007F7A97"/>
    <w:rsid w:val="008059A0"/>
    <w:rsid w:val="00807559"/>
    <w:rsid w:val="00807E8F"/>
    <w:rsid w:val="00812761"/>
    <w:rsid w:val="008164C6"/>
    <w:rsid w:val="00817977"/>
    <w:rsid w:val="00822C82"/>
    <w:rsid w:val="00840B82"/>
    <w:rsid w:val="008450BC"/>
    <w:rsid w:val="0085334B"/>
    <w:rsid w:val="00870214"/>
    <w:rsid w:val="00874A02"/>
    <w:rsid w:val="0087524E"/>
    <w:rsid w:val="00883910"/>
    <w:rsid w:val="00885C51"/>
    <w:rsid w:val="00885EB0"/>
    <w:rsid w:val="0089085D"/>
    <w:rsid w:val="00891F4B"/>
    <w:rsid w:val="0089264A"/>
    <w:rsid w:val="00893078"/>
    <w:rsid w:val="008938D3"/>
    <w:rsid w:val="00896B85"/>
    <w:rsid w:val="008A22BE"/>
    <w:rsid w:val="008A339E"/>
    <w:rsid w:val="008B6AAB"/>
    <w:rsid w:val="008C1B36"/>
    <w:rsid w:val="008C258E"/>
    <w:rsid w:val="008C5470"/>
    <w:rsid w:val="008D0605"/>
    <w:rsid w:val="008D06C6"/>
    <w:rsid w:val="008D08E0"/>
    <w:rsid w:val="008D408D"/>
    <w:rsid w:val="008D5F33"/>
    <w:rsid w:val="008E3779"/>
    <w:rsid w:val="008E464B"/>
    <w:rsid w:val="008E6250"/>
    <w:rsid w:val="008F6184"/>
    <w:rsid w:val="00902AF6"/>
    <w:rsid w:val="00905A48"/>
    <w:rsid w:val="009119C3"/>
    <w:rsid w:val="00920249"/>
    <w:rsid w:val="00923E43"/>
    <w:rsid w:val="00924C80"/>
    <w:rsid w:val="00925219"/>
    <w:rsid w:val="00932F14"/>
    <w:rsid w:val="00932F72"/>
    <w:rsid w:val="00937CB7"/>
    <w:rsid w:val="0094247F"/>
    <w:rsid w:val="00942D60"/>
    <w:rsid w:val="00944DE8"/>
    <w:rsid w:val="0096523B"/>
    <w:rsid w:val="00966EE3"/>
    <w:rsid w:val="00972AEC"/>
    <w:rsid w:val="00972D06"/>
    <w:rsid w:val="00990716"/>
    <w:rsid w:val="009A1A83"/>
    <w:rsid w:val="009A391C"/>
    <w:rsid w:val="009A50F2"/>
    <w:rsid w:val="009A7410"/>
    <w:rsid w:val="009B0AF2"/>
    <w:rsid w:val="009E0A61"/>
    <w:rsid w:val="009E2344"/>
    <w:rsid w:val="009E3010"/>
    <w:rsid w:val="009E31A5"/>
    <w:rsid w:val="009E6D00"/>
    <w:rsid w:val="009F007E"/>
    <w:rsid w:val="009F25D2"/>
    <w:rsid w:val="009F4182"/>
    <w:rsid w:val="009F7065"/>
    <w:rsid w:val="00A0196E"/>
    <w:rsid w:val="00A13C81"/>
    <w:rsid w:val="00A14C5F"/>
    <w:rsid w:val="00A21820"/>
    <w:rsid w:val="00A269D0"/>
    <w:rsid w:val="00A4175D"/>
    <w:rsid w:val="00A46F4C"/>
    <w:rsid w:val="00A543B2"/>
    <w:rsid w:val="00A56A32"/>
    <w:rsid w:val="00A56DC7"/>
    <w:rsid w:val="00A74FD1"/>
    <w:rsid w:val="00A77BFA"/>
    <w:rsid w:val="00A82D70"/>
    <w:rsid w:val="00A84041"/>
    <w:rsid w:val="00A84A58"/>
    <w:rsid w:val="00A9547C"/>
    <w:rsid w:val="00AA5C25"/>
    <w:rsid w:val="00AC5D93"/>
    <w:rsid w:val="00AD25DC"/>
    <w:rsid w:val="00AD349A"/>
    <w:rsid w:val="00AD69E1"/>
    <w:rsid w:val="00AE5863"/>
    <w:rsid w:val="00AF06FC"/>
    <w:rsid w:val="00AF3391"/>
    <w:rsid w:val="00AF387F"/>
    <w:rsid w:val="00AF5857"/>
    <w:rsid w:val="00AF7B6E"/>
    <w:rsid w:val="00B00E7F"/>
    <w:rsid w:val="00B03490"/>
    <w:rsid w:val="00B12F1E"/>
    <w:rsid w:val="00B173DA"/>
    <w:rsid w:val="00B17675"/>
    <w:rsid w:val="00B21DCC"/>
    <w:rsid w:val="00B2444D"/>
    <w:rsid w:val="00B25F37"/>
    <w:rsid w:val="00B37BF0"/>
    <w:rsid w:val="00B44422"/>
    <w:rsid w:val="00B46EA0"/>
    <w:rsid w:val="00B47B24"/>
    <w:rsid w:val="00B52FF0"/>
    <w:rsid w:val="00B56982"/>
    <w:rsid w:val="00B731D3"/>
    <w:rsid w:val="00B76F32"/>
    <w:rsid w:val="00B839A3"/>
    <w:rsid w:val="00B8526B"/>
    <w:rsid w:val="00B902BD"/>
    <w:rsid w:val="00BA24E2"/>
    <w:rsid w:val="00BB22B0"/>
    <w:rsid w:val="00BC04A8"/>
    <w:rsid w:val="00BC45BF"/>
    <w:rsid w:val="00BD2A39"/>
    <w:rsid w:val="00BD2E80"/>
    <w:rsid w:val="00BE11B8"/>
    <w:rsid w:val="00BE1C93"/>
    <w:rsid w:val="00BF618B"/>
    <w:rsid w:val="00BF7213"/>
    <w:rsid w:val="00BF7FF0"/>
    <w:rsid w:val="00C02716"/>
    <w:rsid w:val="00C057F4"/>
    <w:rsid w:val="00C12502"/>
    <w:rsid w:val="00C160F9"/>
    <w:rsid w:val="00C1728B"/>
    <w:rsid w:val="00C30E56"/>
    <w:rsid w:val="00C351B4"/>
    <w:rsid w:val="00C36578"/>
    <w:rsid w:val="00C40AA5"/>
    <w:rsid w:val="00C442C9"/>
    <w:rsid w:val="00C46F70"/>
    <w:rsid w:val="00C476D0"/>
    <w:rsid w:val="00C507DD"/>
    <w:rsid w:val="00C61AC1"/>
    <w:rsid w:val="00C632EC"/>
    <w:rsid w:val="00C643C5"/>
    <w:rsid w:val="00C74397"/>
    <w:rsid w:val="00C760A1"/>
    <w:rsid w:val="00C763B6"/>
    <w:rsid w:val="00C836E3"/>
    <w:rsid w:val="00C86577"/>
    <w:rsid w:val="00C87FFB"/>
    <w:rsid w:val="00C92E07"/>
    <w:rsid w:val="00C94916"/>
    <w:rsid w:val="00C96868"/>
    <w:rsid w:val="00CA0416"/>
    <w:rsid w:val="00CA641D"/>
    <w:rsid w:val="00CB1CD3"/>
    <w:rsid w:val="00CB3735"/>
    <w:rsid w:val="00CB55D2"/>
    <w:rsid w:val="00CC1A1A"/>
    <w:rsid w:val="00CC560B"/>
    <w:rsid w:val="00CC75E2"/>
    <w:rsid w:val="00CC7C87"/>
    <w:rsid w:val="00CD46EB"/>
    <w:rsid w:val="00CD7EBF"/>
    <w:rsid w:val="00CE101E"/>
    <w:rsid w:val="00CE4C81"/>
    <w:rsid w:val="00CE63EE"/>
    <w:rsid w:val="00CE7656"/>
    <w:rsid w:val="00CF4B00"/>
    <w:rsid w:val="00CF68B1"/>
    <w:rsid w:val="00D01680"/>
    <w:rsid w:val="00D03DF2"/>
    <w:rsid w:val="00D056F1"/>
    <w:rsid w:val="00D11171"/>
    <w:rsid w:val="00D20EFA"/>
    <w:rsid w:val="00D22F3C"/>
    <w:rsid w:val="00D23DB6"/>
    <w:rsid w:val="00D31D00"/>
    <w:rsid w:val="00D40D54"/>
    <w:rsid w:val="00D43FE6"/>
    <w:rsid w:val="00D47801"/>
    <w:rsid w:val="00D519FC"/>
    <w:rsid w:val="00D51A95"/>
    <w:rsid w:val="00D521C6"/>
    <w:rsid w:val="00D60568"/>
    <w:rsid w:val="00D61629"/>
    <w:rsid w:val="00D675AA"/>
    <w:rsid w:val="00D70C7A"/>
    <w:rsid w:val="00D71311"/>
    <w:rsid w:val="00D71510"/>
    <w:rsid w:val="00D76303"/>
    <w:rsid w:val="00D81D38"/>
    <w:rsid w:val="00D82563"/>
    <w:rsid w:val="00D836AD"/>
    <w:rsid w:val="00D91A9C"/>
    <w:rsid w:val="00D9620E"/>
    <w:rsid w:val="00D96879"/>
    <w:rsid w:val="00DA10A8"/>
    <w:rsid w:val="00DB1E08"/>
    <w:rsid w:val="00DB2973"/>
    <w:rsid w:val="00DB75F9"/>
    <w:rsid w:val="00DC1B56"/>
    <w:rsid w:val="00DC2129"/>
    <w:rsid w:val="00DC3063"/>
    <w:rsid w:val="00DC5BCC"/>
    <w:rsid w:val="00DC6570"/>
    <w:rsid w:val="00DD0B8A"/>
    <w:rsid w:val="00DD3C5E"/>
    <w:rsid w:val="00DE3933"/>
    <w:rsid w:val="00DE459D"/>
    <w:rsid w:val="00DF1B8F"/>
    <w:rsid w:val="00DF25C3"/>
    <w:rsid w:val="00DF2A7B"/>
    <w:rsid w:val="00DF3177"/>
    <w:rsid w:val="00DF789D"/>
    <w:rsid w:val="00E04062"/>
    <w:rsid w:val="00E063C6"/>
    <w:rsid w:val="00E066BA"/>
    <w:rsid w:val="00E13CBA"/>
    <w:rsid w:val="00E17C02"/>
    <w:rsid w:val="00E2003B"/>
    <w:rsid w:val="00E203C2"/>
    <w:rsid w:val="00E279D8"/>
    <w:rsid w:val="00E319B1"/>
    <w:rsid w:val="00E44350"/>
    <w:rsid w:val="00E44D49"/>
    <w:rsid w:val="00E44E0D"/>
    <w:rsid w:val="00E526E2"/>
    <w:rsid w:val="00E5492F"/>
    <w:rsid w:val="00E54CF0"/>
    <w:rsid w:val="00E55887"/>
    <w:rsid w:val="00E56B44"/>
    <w:rsid w:val="00E605EA"/>
    <w:rsid w:val="00E6232D"/>
    <w:rsid w:val="00E627DD"/>
    <w:rsid w:val="00E62DEF"/>
    <w:rsid w:val="00E70A86"/>
    <w:rsid w:val="00E777EC"/>
    <w:rsid w:val="00E80FCD"/>
    <w:rsid w:val="00EA7AF5"/>
    <w:rsid w:val="00EA7F2F"/>
    <w:rsid w:val="00EB40BA"/>
    <w:rsid w:val="00EB46DC"/>
    <w:rsid w:val="00EC00DE"/>
    <w:rsid w:val="00EC30E1"/>
    <w:rsid w:val="00EC71AE"/>
    <w:rsid w:val="00ED172A"/>
    <w:rsid w:val="00ED425B"/>
    <w:rsid w:val="00ED76DB"/>
    <w:rsid w:val="00EE4E86"/>
    <w:rsid w:val="00EE6D21"/>
    <w:rsid w:val="00EE787D"/>
    <w:rsid w:val="00EF1F1F"/>
    <w:rsid w:val="00EF6933"/>
    <w:rsid w:val="00EF7A2F"/>
    <w:rsid w:val="00F11F6C"/>
    <w:rsid w:val="00F14BEC"/>
    <w:rsid w:val="00F1751C"/>
    <w:rsid w:val="00F225C5"/>
    <w:rsid w:val="00F2587A"/>
    <w:rsid w:val="00F31BD2"/>
    <w:rsid w:val="00F34CB8"/>
    <w:rsid w:val="00F3715D"/>
    <w:rsid w:val="00F378E0"/>
    <w:rsid w:val="00F420C8"/>
    <w:rsid w:val="00F42A4C"/>
    <w:rsid w:val="00F522B2"/>
    <w:rsid w:val="00F5338B"/>
    <w:rsid w:val="00F5641E"/>
    <w:rsid w:val="00F604DE"/>
    <w:rsid w:val="00F6276F"/>
    <w:rsid w:val="00F63F03"/>
    <w:rsid w:val="00F73381"/>
    <w:rsid w:val="00F8105D"/>
    <w:rsid w:val="00F85EAC"/>
    <w:rsid w:val="00F86EEB"/>
    <w:rsid w:val="00F969B6"/>
    <w:rsid w:val="00FB7512"/>
    <w:rsid w:val="00FC190F"/>
    <w:rsid w:val="00FD7547"/>
    <w:rsid w:val="00FE7893"/>
    <w:rsid w:val="00FF1E63"/>
    <w:rsid w:val="00FF49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15AB3B"/>
  <w15:docId w15:val="{4D241915-2637-4641-A4F0-3745BAD6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EB46DC"/>
    <w:pPr>
      <w:keepNext/>
      <w:keepLines/>
      <w:spacing w:before="240" w:after="240"/>
      <w:outlineLvl w:val="1"/>
    </w:pPr>
    <w:rPr>
      <w:rFonts w:cs="Arial"/>
      <w:b/>
      <w:bCs/>
      <w:sz w:val="28"/>
      <w:szCs w:val="22"/>
      <w:lang w:val="en-AU" w:bidi="ar-SA"/>
    </w:rPr>
  </w:style>
  <w:style w:type="paragraph" w:styleId="Heading3">
    <w:name w:val="heading 3"/>
    <w:aliases w:val="FSHeading 3,Subheading 1"/>
    <w:basedOn w:val="Normal"/>
    <w:next w:val="Normal"/>
    <w:link w:val="Heading3Char"/>
    <w:autoRedefine/>
    <w:uiPriority w:val="9"/>
    <w:unhideWhenUsed/>
    <w:qFormat/>
    <w:rsid w:val="00AF5857"/>
    <w:pPr>
      <w:keepNext/>
      <w:spacing w:before="240" w:after="240"/>
      <w:ind w:left="567" w:hanging="567"/>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AF5857"/>
    <w:pPr>
      <w:keepNext/>
      <w:spacing w:before="240" w:after="240"/>
      <w:ind w:left="567" w:hanging="567"/>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EB46DC"/>
    <w:rPr>
      <w:rFonts w:ascii="Arial" w:hAnsi="Arial" w:cs="Arial"/>
      <w:b/>
      <w:bCs/>
      <w:sz w:val="28"/>
      <w:szCs w:val="22"/>
      <w:lang w:val="en-AU" w:eastAsia="en-US"/>
    </w:rPr>
  </w:style>
  <w:style w:type="character" w:customStyle="1" w:styleId="Heading3Char">
    <w:name w:val="Heading 3 Char"/>
    <w:aliases w:val="FSHeading 3 Char,Subheading 1 Char"/>
    <w:link w:val="Heading3"/>
    <w:uiPriority w:val="9"/>
    <w:rsid w:val="00AF585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AF5857"/>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basedOn w:val="Normal"/>
    <w:uiPriority w:val="34"/>
    <w:qFormat/>
    <w:rsid w:val="00D03DF2"/>
    <w:pPr>
      <w:widowControl/>
      <w:ind w:left="720"/>
      <w:contextualSpacing/>
    </w:pPr>
    <w:rPr>
      <w:rFonts w:eastAsiaTheme="minorHAnsi" w:cstheme="minorBidi"/>
      <w:szCs w:val="22"/>
      <w:lang w:bidi="ar-SA"/>
    </w:rPr>
  </w:style>
  <w:style w:type="paragraph" w:customStyle="1" w:styleId="Bullet">
    <w:name w:val="Bullet"/>
    <w:basedOn w:val="Normal"/>
    <w:rsid w:val="004A196C"/>
    <w:pPr>
      <w:numPr>
        <w:numId w:val="8"/>
      </w:numPr>
      <w:tabs>
        <w:tab w:val="clear" w:pos="577"/>
      </w:tabs>
      <w:ind w:left="567" w:hanging="567"/>
    </w:pPr>
    <w:rPr>
      <w:rFonts w:ascii="Times New Roman" w:hAnsi="Times New Roman"/>
      <w:sz w:val="24"/>
      <w:lang w:bidi="ar-SA"/>
    </w:rPr>
  </w:style>
  <w:style w:type="character" w:customStyle="1" w:styleId="FootnoteTextChar">
    <w:name w:val="Footnote Text Char"/>
    <w:aliases w:val="FSFootnote Text Char,Footnotes Text Char,FSFootnotes Text Char"/>
    <w:basedOn w:val="DefaultParagraphFont"/>
    <w:link w:val="FootnoteText"/>
    <w:rsid w:val="00FF496E"/>
    <w:rPr>
      <w:rFonts w:ascii="Arial" w:hAnsi="Arial"/>
      <w:lang w:eastAsia="en-US" w:bidi="en-US"/>
    </w:rPr>
  </w:style>
  <w:style w:type="paragraph" w:styleId="CommentSubject">
    <w:name w:val="annotation subject"/>
    <w:basedOn w:val="CommentText"/>
    <w:next w:val="CommentText"/>
    <w:link w:val="CommentSubjectChar"/>
    <w:rsid w:val="00EB46DC"/>
    <w:rPr>
      <w:b/>
      <w:bCs/>
    </w:rPr>
  </w:style>
  <w:style w:type="character" w:customStyle="1" w:styleId="CommentSubjectChar">
    <w:name w:val="Comment Subject Char"/>
    <w:basedOn w:val="CommentTextChar"/>
    <w:link w:val="CommentSubject"/>
    <w:rsid w:val="00EB46DC"/>
    <w:rPr>
      <w:rFonts w:ascii="Arial" w:hAnsi="Arial"/>
      <w:b/>
      <w:bCs/>
      <w:lang w:eastAsia="en-US" w:bidi="en-US"/>
    </w:rPr>
  </w:style>
  <w:style w:type="paragraph" w:styleId="Revision">
    <w:name w:val="Revision"/>
    <w:hidden/>
    <w:uiPriority w:val="99"/>
    <w:semiHidden/>
    <w:rsid w:val="00EB46DC"/>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FD9F-F3B7-4358-BE6E-5D8E9C481CB3}"/>
</file>

<file path=customXml/itemProps2.xml><?xml version="1.0" encoding="utf-8"?>
<ds:datastoreItem xmlns:ds="http://schemas.openxmlformats.org/officeDocument/2006/customXml" ds:itemID="{DC16DC85-A3B2-41A5-A525-EE44B41AC3C8}"/>
</file>

<file path=customXml/itemProps3.xml><?xml version="1.0" encoding="utf-8"?>
<ds:datastoreItem xmlns:ds="http://schemas.openxmlformats.org/officeDocument/2006/customXml" ds:itemID="{E4B5E8D4-FD2E-4D79-A178-6D9D06C36B63}"/>
</file>

<file path=customXml/itemProps4.xml><?xml version="1.0" encoding="utf-8"?>
<ds:datastoreItem xmlns:ds="http://schemas.openxmlformats.org/officeDocument/2006/customXml" ds:itemID="{BC21F901-DD40-421D-886F-99BE5B6277C5}">
  <ds:schemaRefs>
    <ds:schemaRef ds:uri="http://schemas.microsoft.com/sharepoint/events"/>
  </ds:schemaRefs>
</ds:datastoreItem>
</file>

<file path=customXml/itemProps5.xml><?xml version="1.0" encoding="utf-8"?>
<ds:datastoreItem xmlns:ds="http://schemas.openxmlformats.org/officeDocument/2006/customXml" ds:itemID="{8528E85A-6FA0-45F9-A80A-81968B477D6D}">
  <ds:schemaRefs>
    <ds:schemaRef ds:uri="Microsoft.SharePoint.Taxonomy.ContentTypeSync"/>
  </ds:schemaRefs>
</ds:datastoreItem>
</file>

<file path=customXml/itemProps6.xml><?xml version="1.0" encoding="utf-8"?>
<ds:datastoreItem xmlns:ds="http://schemas.openxmlformats.org/officeDocument/2006/customXml" ds:itemID="{0BF26E52-2707-429E-835D-182C05F092B8}"/>
</file>

<file path=customXml/itemProps7.xml><?xml version="1.0" encoding="utf-8"?>
<ds:datastoreItem xmlns:ds="http://schemas.openxmlformats.org/officeDocument/2006/customXml" ds:itemID="{C9D1E409-3FAA-40FF-B201-97D37B2F7A4C}"/>
</file>

<file path=docProps/app.xml><?xml version="1.0" encoding="utf-8"?>
<Properties xmlns="http://schemas.openxmlformats.org/officeDocument/2006/extended-properties" xmlns:vt="http://schemas.openxmlformats.org/officeDocument/2006/docPropsVTypes">
  <Template>Normal</Template>
  <TotalTime>824</TotalTime>
  <Pages>7</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17294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duffyg</dc:creator>
  <cp:keywords/>
  <dc:description/>
  <cp:lastModifiedBy>CoughC</cp:lastModifiedBy>
  <cp:revision>12</cp:revision>
  <cp:lastPrinted>2019-06-20T21:51:00Z</cp:lastPrinted>
  <dcterms:created xsi:type="dcterms:W3CDTF">2019-05-01T04:30:00Z</dcterms:created>
  <dcterms:modified xsi:type="dcterms:W3CDTF">2019-07-18T03:14:00Z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7af50b91-3134-42e2-acb8-87eae64c6c75</vt:lpwstr>
  </property>
  <property fmtid="{D5CDD505-2E9C-101B-9397-08002B2CF9AE}" pid="5" name="SPPCopyMoveEvent">
    <vt:lpwstr>1</vt:lpwstr>
  </property>
  <property fmtid="{D5CDD505-2E9C-101B-9397-08002B2CF9AE}" pid="6" name="DisposalClass">
    <vt:lpwstr/>
  </property>
  <property fmtid="{D5CDD505-2E9C-101B-9397-08002B2CF9AE}" pid="7" name="docIndexRef">
    <vt:lpwstr>e4134cce-7059-4132-8bff-a93af116db94</vt:lpwstr>
  </property>
  <property fmtid="{D5CDD505-2E9C-101B-9397-08002B2CF9AE}" pid="8" name="bjSaver">
    <vt:lpwstr>FUphSSWQQG1oROw9hqflrb1rmlSRg0aB</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uid="a68a5297-83bb-4ba8-a7cd-4b62d6981a77" value="" /&gt;&lt;/sisl&gt;</vt:lpwstr>
  </property>
  <property fmtid="{D5CDD505-2E9C-101B-9397-08002B2CF9AE}" pid="11" name="bjDocumentSecurityLabel">
    <vt:lpwstr>OFFICIAL:Sensitive</vt:lpwstr>
  </property>
  <property fmtid="{D5CDD505-2E9C-101B-9397-08002B2CF9AE}" pid="12" name="RecordPoint_WorkflowType">
    <vt:lpwstr>ActiveSubmitStub</vt:lpwstr>
  </property>
  <property fmtid="{D5CDD505-2E9C-101B-9397-08002B2CF9AE}" pid="13" name="RecordPoint_ActiveItemListId">
    <vt:lpwstr>{fddf8b53-c3ea-46d5-a991-0de47619381a}</vt:lpwstr>
  </property>
  <property fmtid="{D5CDD505-2E9C-101B-9397-08002B2CF9AE}" pid="14" name="RecordPoint_ActiveItemUniqueId">
    <vt:lpwstr>{ce323839-2da9-4aad-8c46-b4282c458f66}</vt:lpwstr>
  </property>
  <property fmtid="{D5CDD505-2E9C-101B-9397-08002B2CF9AE}" pid="15" name="RecordPoint_ActiveItemWebId">
    <vt:lpwstr>{ce8aceb7-110d-4cd3-acd1-c9e45bc79768}</vt:lpwstr>
  </property>
  <property fmtid="{D5CDD505-2E9C-101B-9397-08002B2CF9AE}" pid="16" name="RecordPoint_ActiveItemSiteId">
    <vt:lpwstr>{dd95a578-5c6a-4f11-92f7-f95884d628d6}</vt:lpwstr>
  </property>
  <property fmtid="{D5CDD505-2E9C-101B-9397-08002B2CF9AE}" pid="17" name="RecordPoint_RecordNumberSubmitted">
    <vt:lpwstr>R0000115313</vt:lpwstr>
  </property>
  <property fmtid="{D5CDD505-2E9C-101B-9397-08002B2CF9AE}" pid="18" name="RecordPoint_SubmissionCompleted">
    <vt:lpwstr>2019-06-21T12:35:09.0168212+10:00</vt:lpwstr>
  </property>
</Properties>
</file>